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01BDE732"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w:t>
      </w:r>
      <w:r w:rsidR="004A156A">
        <w:rPr>
          <w:rFonts w:ascii="Times New Roman" w:eastAsiaTheme="minorHAnsi" w:hAnsi="Times New Roman"/>
          <w:b/>
          <w:bCs/>
          <w:sz w:val="24"/>
          <w:szCs w:val="28"/>
          <w:lang w:val="en-US"/>
        </w:rPr>
        <w:t>1</w:t>
      </w:r>
      <w:r w:rsidRPr="00592B72">
        <w:rPr>
          <w:rFonts w:ascii="Times New Roman" w:eastAsiaTheme="minorHAnsi" w:hAnsi="Times New Roman" w:cstheme="minorBidi"/>
          <w:b/>
          <w:bCs/>
          <w:sz w:val="24"/>
          <w:szCs w:val="28"/>
          <w:lang w:val="en-US"/>
        </w:rPr>
        <w:tab/>
      </w:r>
      <w:r w:rsidR="004A156A">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757174">
        <w:rPr>
          <w:rFonts w:ascii="Times New Roman" w:eastAsiaTheme="minorHAnsi" w:hAnsi="Times New Roman" w:cstheme="minorBidi"/>
          <w:b/>
          <w:bCs/>
          <w:sz w:val="24"/>
          <w:szCs w:val="28"/>
          <w:lang w:val="en-US"/>
        </w:rPr>
        <w:t>R1-22</w:t>
      </w:r>
      <w:r w:rsidR="00D3053A">
        <w:rPr>
          <w:rFonts w:ascii="Times New Roman" w:eastAsiaTheme="minorHAnsi" w:hAnsi="Times New Roman" w:cstheme="minorBidi"/>
          <w:b/>
          <w:bCs/>
          <w:sz w:val="24"/>
          <w:szCs w:val="28"/>
          <w:lang w:val="en-US"/>
        </w:rPr>
        <w:t>11323</w:t>
      </w:r>
    </w:p>
    <w:p w14:paraId="421A1909" w14:textId="36308E1B" w:rsidR="003346F0" w:rsidRDefault="00C41556"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1E02CC">
        <w:rPr>
          <w:rFonts w:ascii="Times New Roman" w:eastAsiaTheme="minorHAnsi" w:hAnsi="Times New Roman"/>
          <w:b/>
          <w:bCs/>
          <w:sz w:val="24"/>
          <w:szCs w:val="28"/>
          <w:lang w:val="en-US"/>
        </w:rPr>
        <w:t>Toulouse, France, November 14th – 18th,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5A9FF06"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3605F6">
        <w:rPr>
          <w:rFonts w:ascii="Times New Roman" w:hAnsi="Times New Roman"/>
          <w:b/>
          <w:bCs/>
          <w:sz w:val="22"/>
          <w:szCs w:val="22"/>
          <w:lang w:val="en-US"/>
        </w:rPr>
        <w:t>2</w:t>
      </w:r>
      <w:r w:rsidR="00D95564">
        <w:rPr>
          <w:rFonts w:ascii="Times New Roman" w:hAnsi="Times New Roman"/>
          <w:b/>
          <w:bCs/>
          <w:sz w:val="22"/>
          <w:szCs w:val="22"/>
          <w:lang w:val="en-US"/>
        </w:rPr>
        <w:t>.</w:t>
      </w:r>
      <w:r w:rsidR="009A655E">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D4B0C2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9A655E" w:rsidRPr="009A655E">
        <w:rPr>
          <w:rFonts w:ascii="Times New Roman" w:hAnsi="Times New Roman" w:cs="Times New Roman"/>
          <w:b/>
          <w:bCs/>
        </w:rPr>
        <w:t>Timing advance management to reduce latency</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DDF1673" w:rsidR="00CD5952"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 xml:space="preserve">further </w:t>
      </w:r>
      <w:r w:rsidR="003A7E44">
        <w:rPr>
          <w:rFonts w:ascii="Times New Roman" w:hAnsi="Times New Roman" w:cs="Times New Roman"/>
          <w:sz w:val="20"/>
          <w:szCs w:val="20"/>
          <w:lang w:val="en-GB"/>
        </w:rPr>
        <w:t>mobility</w:t>
      </w:r>
      <w:r w:rsidR="00FA585D" w:rsidRPr="0034330B">
        <w:rPr>
          <w:rFonts w:ascii="Times New Roman" w:hAnsi="Times New Roman" w:cs="Times New Roman"/>
          <w:sz w:val="20"/>
          <w:szCs w:val="20"/>
          <w:lang w:val="en-GB"/>
        </w:rPr>
        <w:t xml:space="preserv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tbl>
      <w:tblPr>
        <w:tblStyle w:val="TableGrid"/>
        <w:tblW w:w="0" w:type="auto"/>
        <w:tblLook w:val="04A0" w:firstRow="1" w:lastRow="0" w:firstColumn="1" w:lastColumn="0" w:noHBand="0" w:noVBand="1"/>
      </w:tblPr>
      <w:tblGrid>
        <w:gridCol w:w="9350"/>
      </w:tblGrid>
      <w:tr w:rsidR="00F75F67" w14:paraId="6E055966" w14:textId="77777777" w:rsidTr="00F75F67">
        <w:tc>
          <w:tcPr>
            <w:tcW w:w="9350" w:type="dxa"/>
          </w:tcPr>
          <w:p w14:paraId="0864E5BE" w14:textId="1632944B" w:rsidR="00F75F67" w:rsidRDefault="00F75F67" w:rsidP="00F75F67">
            <w:pPr>
              <w:numPr>
                <w:ilvl w:val="0"/>
                <w:numId w:val="15"/>
              </w:numPr>
              <w:overflowPunct w:val="0"/>
              <w:autoSpaceDE w:val="0"/>
              <w:autoSpaceDN w:val="0"/>
              <w:adjustRightInd w:val="0"/>
              <w:jc w:val="both"/>
              <w:textAlignment w:val="baseline"/>
              <w:rPr>
                <w:rFonts w:ascii="Times New Roman" w:eastAsia="PMingLiU" w:hAnsi="Times New Roman" w:cs="Times New Roman"/>
                <w:bCs/>
                <w:sz w:val="20"/>
                <w:szCs w:val="20"/>
                <w:lang w:eastAsia="en-GB"/>
              </w:rPr>
            </w:pPr>
            <w:r w:rsidRPr="00F75F67">
              <w:rPr>
                <w:rFonts w:ascii="Times New Roman" w:eastAsia="PMingLiU" w:hAnsi="Times New Roman" w:cs="Times New Roman"/>
                <w:bCs/>
                <w:sz w:val="20"/>
                <w:szCs w:val="20"/>
                <w:lang w:eastAsia="en-GB"/>
              </w:rPr>
              <w:t xml:space="preserve">Dynamic switch mechanism among candidate serving cells (including </w:t>
            </w:r>
            <w:proofErr w:type="spellStart"/>
            <w:r w:rsidRPr="00F75F67">
              <w:rPr>
                <w:rFonts w:ascii="Times New Roman" w:eastAsia="PMingLiU" w:hAnsi="Times New Roman" w:cs="Times New Roman"/>
                <w:bCs/>
                <w:sz w:val="20"/>
                <w:szCs w:val="20"/>
                <w:lang w:eastAsia="en-GB"/>
              </w:rPr>
              <w:t>SpCell</w:t>
            </w:r>
            <w:proofErr w:type="spellEnd"/>
            <w:r w:rsidRPr="00F75F67">
              <w:rPr>
                <w:rFonts w:ascii="Times New Roman" w:eastAsia="PMingLiU" w:hAnsi="Times New Roman" w:cs="Times New Roman"/>
                <w:bCs/>
                <w:sz w:val="20"/>
                <w:szCs w:val="20"/>
                <w:lang w:eastAsia="en-GB"/>
              </w:rPr>
              <w:t xml:space="preserve"> and </w:t>
            </w:r>
            <w:proofErr w:type="spellStart"/>
            <w:r w:rsidRPr="00F75F67">
              <w:rPr>
                <w:rFonts w:ascii="Times New Roman" w:eastAsia="PMingLiU" w:hAnsi="Times New Roman" w:cs="Times New Roman"/>
                <w:bCs/>
                <w:sz w:val="20"/>
                <w:szCs w:val="20"/>
                <w:lang w:eastAsia="en-GB"/>
              </w:rPr>
              <w:t>SCell</w:t>
            </w:r>
            <w:proofErr w:type="spellEnd"/>
            <w:r w:rsidRPr="00F75F67">
              <w:rPr>
                <w:rFonts w:ascii="Times New Roman" w:eastAsia="PMingLiU" w:hAnsi="Times New Roman" w:cs="Times New Roman"/>
                <w:bCs/>
                <w:sz w:val="20"/>
                <w:szCs w:val="20"/>
                <w:lang w:eastAsia="en-GB"/>
              </w:rPr>
              <w:t>) for the potential applicable scenarios based on L1</w:t>
            </w:r>
            <w:r w:rsidRPr="00F75F67">
              <w:rPr>
                <w:rFonts w:ascii="Times New Roman" w:eastAsia="PMingLiU" w:hAnsi="Times New Roman" w:cs="Times New Roman" w:hint="eastAsia"/>
                <w:bCs/>
                <w:sz w:val="20"/>
                <w:szCs w:val="20"/>
                <w:lang w:eastAsia="en-GB"/>
              </w:rPr>
              <w:t>/</w:t>
            </w:r>
            <w:r w:rsidRPr="00F75F67">
              <w:rPr>
                <w:rFonts w:ascii="Times New Roman" w:eastAsia="PMingLiU" w:hAnsi="Times New Roman" w:cs="Times New Roman"/>
                <w:bCs/>
                <w:sz w:val="20"/>
                <w:szCs w:val="20"/>
                <w:lang w:eastAsia="en-GB"/>
              </w:rPr>
              <w:t xml:space="preserve">L2 </w:t>
            </w:r>
            <w:proofErr w:type="spellStart"/>
            <w:r w:rsidRPr="00F75F67">
              <w:rPr>
                <w:rFonts w:ascii="Times New Roman" w:eastAsia="PMingLiU" w:hAnsi="Times New Roman" w:cs="Times New Roman"/>
                <w:bCs/>
                <w:sz w:val="20"/>
                <w:szCs w:val="20"/>
                <w:lang w:eastAsia="en-GB"/>
              </w:rPr>
              <w:t>signalling</w:t>
            </w:r>
            <w:proofErr w:type="spellEnd"/>
            <w:r w:rsidRPr="00F75F67">
              <w:rPr>
                <w:rFonts w:ascii="Times New Roman" w:eastAsia="PMingLiU" w:hAnsi="Times New Roman" w:cs="Times New Roman"/>
                <w:bCs/>
                <w:sz w:val="20"/>
                <w:szCs w:val="20"/>
                <w:lang w:eastAsia="en-GB"/>
              </w:rPr>
              <w:t xml:space="preserve"> [RAN2, RAN1]</w:t>
            </w:r>
          </w:p>
          <w:p w14:paraId="2D6FBA1E" w14:textId="21FEF18A" w:rsidR="00207242" w:rsidRDefault="00207242" w:rsidP="00F75F67">
            <w:pPr>
              <w:numPr>
                <w:ilvl w:val="0"/>
                <w:numId w:val="15"/>
              </w:numPr>
              <w:overflowPunct w:val="0"/>
              <w:autoSpaceDE w:val="0"/>
              <w:autoSpaceDN w:val="0"/>
              <w:adjustRightInd w:val="0"/>
              <w:jc w:val="both"/>
              <w:textAlignment w:val="baseline"/>
              <w:rPr>
                <w:rFonts w:ascii="Times New Roman" w:eastAsia="PMingLiU" w:hAnsi="Times New Roman" w:cs="Times New Roman"/>
                <w:bCs/>
                <w:sz w:val="20"/>
                <w:szCs w:val="20"/>
                <w:lang w:eastAsia="en-GB"/>
              </w:rPr>
            </w:pPr>
            <w:r>
              <w:rPr>
                <w:rFonts w:ascii="Times New Roman" w:eastAsia="PMingLiU" w:hAnsi="Times New Roman" w:cs="Times New Roman"/>
                <w:bCs/>
                <w:sz w:val="20"/>
                <w:szCs w:val="20"/>
                <w:lang w:eastAsia="en-GB"/>
              </w:rPr>
              <w:t>…</w:t>
            </w:r>
          </w:p>
          <w:p w14:paraId="114A64AF" w14:textId="59CB59E5" w:rsidR="00F75F67" w:rsidRPr="00207242" w:rsidRDefault="00207242" w:rsidP="00207242">
            <w:pPr>
              <w:pStyle w:val="ListParagraph"/>
              <w:numPr>
                <w:ilvl w:val="0"/>
                <w:numId w:val="15"/>
              </w:numPr>
              <w:rPr>
                <w:rFonts w:ascii="Times New Roman" w:eastAsia="PMingLiU" w:hAnsi="Times New Roman" w:cs="Times New Roman"/>
                <w:bCs/>
                <w:sz w:val="20"/>
                <w:szCs w:val="20"/>
                <w:lang w:eastAsia="en-GB"/>
              </w:rPr>
            </w:pPr>
            <w:r w:rsidRPr="00207242">
              <w:rPr>
                <w:rFonts w:ascii="Times New Roman" w:eastAsia="PMingLiU" w:hAnsi="Times New Roman" w:cs="Times New Roman"/>
                <w:bCs/>
                <w:sz w:val="20"/>
                <w:szCs w:val="20"/>
                <w:lang w:eastAsia="en-GB"/>
              </w:rPr>
              <w:t>Timing Advance management [RAN1, RAN2]</w:t>
            </w:r>
          </w:p>
        </w:tc>
      </w:tr>
    </w:tbl>
    <w:p w14:paraId="076FB186" w14:textId="396088ED" w:rsidR="005C0F7A" w:rsidRDefault="005C0F7A" w:rsidP="00F532CF">
      <w:pPr>
        <w:spacing w:before="240"/>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tbl>
      <w:tblPr>
        <w:tblStyle w:val="TableGrid"/>
        <w:tblW w:w="0" w:type="auto"/>
        <w:tblLook w:val="04A0" w:firstRow="1" w:lastRow="0" w:firstColumn="1" w:lastColumn="0" w:noHBand="0" w:noVBand="1"/>
      </w:tblPr>
      <w:tblGrid>
        <w:gridCol w:w="9350"/>
      </w:tblGrid>
      <w:tr w:rsidR="008317D7" w14:paraId="69764618" w14:textId="77777777" w:rsidTr="008317D7">
        <w:tc>
          <w:tcPr>
            <w:tcW w:w="9350" w:type="dxa"/>
          </w:tcPr>
          <w:p w14:paraId="110AE169" w14:textId="67C215CB" w:rsidR="008317D7" w:rsidRPr="006815F4" w:rsidRDefault="008317D7" w:rsidP="006815F4">
            <w:pPr>
              <w:overflowPunct w:val="0"/>
              <w:autoSpaceDE w:val="0"/>
              <w:autoSpaceDN w:val="0"/>
              <w:adjustRightInd w:val="0"/>
              <w:textAlignment w:val="baseline"/>
              <w:rPr>
                <w:rFonts w:ascii="Times New Roman" w:eastAsia="PMingLiU" w:hAnsi="Times New Roman" w:cs="Times New Roman"/>
                <w:bCs/>
                <w:sz w:val="20"/>
                <w:szCs w:val="20"/>
                <w:lang w:val="en-GB" w:eastAsia="en-GB"/>
              </w:rPr>
            </w:pPr>
            <w:r w:rsidRPr="008317D7">
              <w:rPr>
                <w:rFonts w:ascii="Times New Roman" w:eastAsia="PMingLiU" w:hAnsi="Times New Roman" w:cs="Times New Roman"/>
                <w:bCs/>
                <w:sz w:val="20"/>
                <w:szCs w:val="20"/>
                <w:lang w:val="en-GB" w:eastAsia="en-GB"/>
              </w:rPr>
              <w:t>When the UE moves from the</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coverage area of one cell to another cell, at some point a serving cell change needs to be performed. Currently</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serving cell change is triggered by L3 measurements and is done by RRC signalling triggered Reconfiguration</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 xml:space="preserve">with Synchronisation for change of </w:t>
            </w:r>
            <w:proofErr w:type="spellStart"/>
            <w:r w:rsidRPr="008317D7">
              <w:rPr>
                <w:rFonts w:ascii="Times New Roman" w:eastAsia="PMingLiU" w:hAnsi="Times New Roman" w:cs="Times New Roman"/>
                <w:bCs/>
                <w:sz w:val="20"/>
                <w:szCs w:val="20"/>
                <w:lang w:val="en-GB" w:eastAsia="en-GB"/>
              </w:rPr>
              <w:t>PCell</w:t>
            </w:r>
            <w:proofErr w:type="spellEnd"/>
            <w:r w:rsidRPr="008317D7">
              <w:rPr>
                <w:rFonts w:ascii="Times New Roman" w:eastAsia="PMingLiU" w:hAnsi="Times New Roman" w:cs="Times New Roman"/>
                <w:bCs/>
                <w:sz w:val="20"/>
                <w:szCs w:val="20"/>
                <w:lang w:val="en-GB" w:eastAsia="en-GB"/>
              </w:rPr>
              <w:t xml:space="preserve"> and </w:t>
            </w:r>
            <w:proofErr w:type="spellStart"/>
            <w:r w:rsidRPr="008317D7">
              <w:rPr>
                <w:rFonts w:ascii="Times New Roman" w:eastAsia="PMingLiU" w:hAnsi="Times New Roman" w:cs="Times New Roman"/>
                <w:bCs/>
                <w:sz w:val="20"/>
                <w:szCs w:val="20"/>
                <w:lang w:val="en-GB" w:eastAsia="en-GB"/>
              </w:rPr>
              <w:t>PSCell</w:t>
            </w:r>
            <w:proofErr w:type="spellEnd"/>
            <w:r w:rsidRPr="008317D7">
              <w:rPr>
                <w:rFonts w:ascii="Times New Roman" w:eastAsia="PMingLiU" w:hAnsi="Times New Roman" w:cs="Times New Roman"/>
                <w:bCs/>
                <w:sz w:val="20"/>
                <w:szCs w:val="20"/>
                <w:lang w:val="en-GB" w:eastAsia="en-GB"/>
              </w:rPr>
              <w:t xml:space="preserve">, as well as release add for </w:t>
            </w:r>
            <w:proofErr w:type="spellStart"/>
            <w:r w:rsidRPr="008317D7">
              <w:rPr>
                <w:rFonts w:ascii="Times New Roman" w:eastAsia="PMingLiU" w:hAnsi="Times New Roman" w:cs="Times New Roman"/>
                <w:bCs/>
                <w:sz w:val="20"/>
                <w:szCs w:val="20"/>
                <w:lang w:val="en-GB" w:eastAsia="en-GB"/>
              </w:rPr>
              <w:t>SCells</w:t>
            </w:r>
            <w:proofErr w:type="spellEnd"/>
            <w:r w:rsidRPr="008317D7">
              <w:rPr>
                <w:rFonts w:ascii="Times New Roman" w:eastAsia="PMingLiU" w:hAnsi="Times New Roman" w:cs="Times New Roman"/>
                <w:bCs/>
                <w:sz w:val="20"/>
                <w:szCs w:val="20"/>
                <w:lang w:val="en-GB" w:eastAsia="en-GB"/>
              </w:rPr>
              <w:t xml:space="preserve"> when applicable. All cases involve</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complete L2 (and L1) resets, leading to longer latency, larger overhead and longer interruption time than</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beam switch mobility. The goal of L1/L2 mobility enhancements is to enable a serving cell change via</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L1/L2 signalling, in order to reduce the latency, overhead and interruption time.</w:t>
            </w:r>
          </w:p>
        </w:tc>
      </w:tr>
    </w:tbl>
    <w:p w14:paraId="55B9AEE4" w14:textId="48751A50" w:rsidR="005C0F7A" w:rsidRPr="0034330B" w:rsidRDefault="005C0F7A" w:rsidP="00F532CF">
      <w:pPr>
        <w:spacing w:before="240"/>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207242">
        <w:rPr>
          <w:rFonts w:ascii="Times New Roman" w:hAnsi="Times New Roman" w:cs="Times New Roman"/>
          <w:sz w:val="20"/>
          <w:szCs w:val="20"/>
        </w:rPr>
        <w:t>timing advance management aspects of L1/2-based mobility</w:t>
      </w:r>
      <w:r w:rsidR="00411EBF" w:rsidRPr="0034330B">
        <w:rPr>
          <w:rFonts w:ascii="Times New Roman" w:hAnsi="Times New Roman" w:cs="Times New Roman"/>
          <w:sz w:val="20"/>
          <w:szCs w:val="20"/>
        </w:rPr>
        <w:t>.</w:t>
      </w:r>
    </w:p>
    <w:p w14:paraId="4A47419D" w14:textId="1147B670" w:rsidR="00F12132" w:rsidRPr="00B23AB9" w:rsidRDefault="002F0503" w:rsidP="0005299C">
      <w:pPr>
        <w:pStyle w:val="Heading1"/>
        <w:rPr>
          <w:lang w:val="en-US"/>
        </w:rPr>
      </w:pPr>
      <w:r w:rsidRPr="00B23AB9">
        <w:rPr>
          <w:lang w:val="en-US"/>
        </w:rPr>
        <w:t>TA acquisition of candid</w:t>
      </w:r>
      <w:r w:rsidR="001074E8" w:rsidRPr="00B23AB9">
        <w:rPr>
          <w:lang w:val="en-US"/>
        </w:rPr>
        <w:t>ate cell</w:t>
      </w:r>
      <w:r w:rsidR="00242D20">
        <w:rPr>
          <w:lang w:val="en-US"/>
        </w:rPr>
        <w:t xml:space="preserve"> before cell switch</w:t>
      </w:r>
    </w:p>
    <w:p w14:paraId="20F2CBFC" w14:textId="721BC630" w:rsidR="00B23AB9" w:rsidRDefault="00B23AB9" w:rsidP="0049621A">
      <w:pPr>
        <w:rPr>
          <w:rFonts w:ascii="Times New Roman" w:hAnsi="Times New Roman" w:cs="Times New Roman"/>
          <w:sz w:val="20"/>
          <w:szCs w:val="20"/>
        </w:rPr>
      </w:pPr>
      <w:r>
        <w:rPr>
          <w:rFonts w:ascii="Times New Roman" w:hAnsi="Times New Roman" w:cs="Times New Roman"/>
          <w:sz w:val="20"/>
          <w:szCs w:val="20"/>
        </w:rPr>
        <w:t>RAN1 agreed to the following in RAN1#110bis-e:</w:t>
      </w:r>
    </w:p>
    <w:tbl>
      <w:tblPr>
        <w:tblStyle w:val="TableGrid"/>
        <w:tblW w:w="0" w:type="auto"/>
        <w:tblLook w:val="04A0" w:firstRow="1" w:lastRow="0" w:firstColumn="1" w:lastColumn="0" w:noHBand="0" w:noVBand="1"/>
      </w:tblPr>
      <w:tblGrid>
        <w:gridCol w:w="9350"/>
      </w:tblGrid>
      <w:tr w:rsidR="00B23AB9" w14:paraId="6A0606A2" w14:textId="77777777" w:rsidTr="00B23AB9">
        <w:tc>
          <w:tcPr>
            <w:tcW w:w="9350" w:type="dxa"/>
          </w:tcPr>
          <w:p w14:paraId="17592BB5" w14:textId="77777777" w:rsidR="00B23AB9" w:rsidRPr="00B23AB9" w:rsidRDefault="00B23AB9" w:rsidP="00B23AB9">
            <w:pPr>
              <w:shd w:val="clear" w:color="auto" w:fill="FFFFFF"/>
              <w:rPr>
                <w:rFonts w:ascii="Times New Roman" w:eastAsia="MS PGothic" w:hAnsi="Times New Roman" w:cs="Times New Roman"/>
                <w:color w:val="242424"/>
                <w:sz w:val="20"/>
                <w:szCs w:val="20"/>
                <w:highlight w:val="green"/>
                <w:shd w:val="clear" w:color="auto" w:fill="FFFFFF"/>
                <w:lang w:eastAsia="zh-CN"/>
              </w:rPr>
            </w:pPr>
            <w:r w:rsidRPr="00B23AB9">
              <w:rPr>
                <w:rFonts w:ascii="Times New Roman" w:eastAsia="MS PGothic" w:hAnsi="Times New Roman" w:cs="Times New Roman"/>
                <w:color w:val="000000"/>
                <w:sz w:val="20"/>
                <w:szCs w:val="20"/>
                <w:highlight w:val="green"/>
                <w:shd w:val="clear" w:color="auto" w:fill="FFFF00"/>
                <w:lang w:eastAsia="zh-CN"/>
              </w:rPr>
              <w:t>Agreement</w:t>
            </w:r>
            <w:r w:rsidRPr="00B23AB9">
              <w:rPr>
                <w:rFonts w:ascii="Times New Roman" w:eastAsia="MS PGothic" w:hAnsi="Times New Roman" w:cs="Times New Roman"/>
                <w:color w:val="242424"/>
                <w:sz w:val="20"/>
                <w:szCs w:val="20"/>
                <w:highlight w:val="green"/>
                <w:shd w:val="clear" w:color="auto" w:fill="FFFFFF"/>
                <w:lang w:eastAsia="zh-CN"/>
              </w:rPr>
              <w:t> </w:t>
            </w:r>
          </w:p>
          <w:p w14:paraId="52EE7AD8" w14:textId="77777777" w:rsidR="00B23AB9" w:rsidRPr="00B23AB9" w:rsidRDefault="00B23AB9" w:rsidP="00B23AB9">
            <w:pPr>
              <w:shd w:val="clear" w:color="auto" w:fill="FFFFFF"/>
              <w:rPr>
                <w:rFonts w:ascii="MS PGothic" w:eastAsia="MS PGothic" w:hAnsi="MS PGothic" w:cs="SimSun"/>
                <w:color w:val="000000"/>
                <w:lang w:eastAsia="zh-CN"/>
              </w:rPr>
            </w:pPr>
            <w:r w:rsidRPr="00B23AB9">
              <w:rPr>
                <w:rFonts w:ascii="Times New Roman" w:eastAsia="MS PGothic" w:hAnsi="Times New Roman" w:cs="Times New Roman"/>
                <w:color w:val="000000"/>
                <w:sz w:val="20"/>
                <w:szCs w:val="20"/>
                <w:lang w:eastAsia="zh-CN"/>
              </w:rPr>
              <w:t>Support TA acquisition of candidate cell(s) before cell switch command is received in L1/L2 based mobility.</w:t>
            </w:r>
          </w:p>
          <w:p w14:paraId="21EBA43C" w14:textId="77777777" w:rsidR="00B23AB9" w:rsidRPr="00B23AB9" w:rsidRDefault="00B23AB9" w:rsidP="00B23AB9">
            <w:pPr>
              <w:numPr>
                <w:ilvl w:val="0"/>
                <w:numId w:val="17"/>
              </w:numPr>
              <w:shd w:val="clear" w:color="auto" w:fill="FFFFFF"/>
              <w:rPr>
                <w:rFonts w:ascii="MS PGothic" w:eastAsia="MS PGothic" w:hAnsi="MS PGothic" w:cs="SimSun"/>
                <w:lang w:eastAsia="zh-CN"/>
              </w:rPr>
            </w:pPr>
            <w:r w:rsidRPr="00B23AB9">
              <w:rPr>
                <w:rFonts w:ascii="Times New Roman" w:eastAsia="MS PGothic" w:hAnsi="Times New Roman" w:cs="Times New Roman"/>
                <w:sz w:val="20"/>
                <w:szCs w:val="20"/>
                <w:lang w:eastAsia="zh-CN"/>
              </w:rPr>
              <w:t xml:space="preserve">FFS: whether this can be applied to candidate cell when it is deactivated </w:t>
            </w:r>
            <w:proofErr w:type="spellStart"/>
            <w:r w:rsidRPr="00B23AB9">
              <w:rPr>
                <w:rFonts w:ascii="Times New Roman" w:eastAsia="MS PGothic" w:hAnsi="Times New Roman" w:cs="Times New Roman"/>
                <w:sz w:val="20"/>
                <w:szCs w:val="20"/>
                <w:lang w:eastAsia="zh-CN"/>
              </w:rPr>
              <w:t>SCell</w:t>
            </w:r>
            <w:proofErr w:type="spellEnd"/>
            <w:r w:rsidRPr="00B23AB9">
              <w:rPr>
                <w:rFonts w:ascii="Times New Roman" w:eastAsia="MS PGothic" w:hAnsi="Times New Roman" w:cs="Times New Roman"/>
                <w:sz w:val="20"/>
                <w:szCs w:val="20"/>
                <w:lang w:eastAsia="zh-CN"/>
              </w:rPr>
              <w:t xml:space="preserve"> (if defined in RAN2)</w:t>
            </w:r>
          </w:p>
          <w:p w14:paraId="3A021776" w14:textId="77777777" w:rsidR="00B23AB9" w:rsidRPr="00B23AB9" w:rsidRDefault="00B23AB9" w:rsidP="0049621A">
            <w:pPr>
              <w:rPr>
                <w:rFonts w:ascii="Times New Roman" w:hAnsi="Times New Roman" w:cs="Times New Roman"/>
                <w:sz w:val="18"/>
                <w:szCs w:val="18"/>
              </w:rPr>
            </w:pPr>
          </w:p>
          <w:p w14:paraId="2BD584F5" w14:textId="77777777" w:rsidR="00B23AB9" w:rsidRPr="00B23AB9" w:rsidRDefault="00B23AB9" w:rsidP="00B23AB9">
            <w:pPr>
              <w:shd w:val="clear" w:color="auto" w:fill="FFFFFF"/>
              <w:rPr>
                <w:rFonts w:ascii="Times New Roman" w:eastAsia="MS PGothic" w:hAnsi="Times New Roman" w:cs="Times New Roman"/>
                <w:color w:val="000000"/>
                <w:sz w:val="20"/>
                <w:szCs w:val="20"/>
                <w:highlight w:val="green"/>
                <w:lang w:eastAsia="zh-CN"/>
              </w:rPr>
            </w:pPr>
            <w:r w:rsidRPr="00B23AB9">
              <w:rPr>
                <w:rFonts w:ascii="Times New Roman" w:eastAsia="MS PGothic" w:hAnsi="Times New Roman" w:cs="Times New Roman" w:hint="eastAsia"/>
                <w:color w:val="000000"/>
                <w:sz w:val="20"/>
                <w:szCs w:val="20"/>
                <w:highlight w:val="green"/>
                <w:lang w:eastAsia="zh-CN"/>
              </w:rPr>
              <w:t>Agreement</w:t>
            </w:r>
          </w:p>
          <w:p w14:paraId="395A727C" w14:textId="77777777" w:rsidR="00B23AB9" w:rsidRPr="00B23AB9" w:rsidRDefault="00B23AB9" w:rsidP="00B23AB9">
            <w:pPr>
              <w:shd w:val="clear" w:color="auto" w:fill="FFFFFF"/>
              <w:rPr>
                <w:rFonts w:ascii="Times New Roman" w:eastAsia="MS PGothic" w:hAnsi="Times New Roman" w:cs="Times New Roman"/>
                <w:color w:val="000000"/>
                <w:sz w:val="20"/>
                <w:szCs w:val="20"/>
                <w:lang w:eastAsia="zh-CN"/>
              </w:rPr>
            </w:pPr>
            <w:r w:rsidRPr="00B23AB9">
              <w:rPr>
                <w:rFonts w:ascii="Times New Roman" w:eastAsia="MS PGothic" w:hAnsi="Times New Roman" w:cs="Times New Roman"/>
                <w:color w:val="000000"/>
                <w:sz w:val="20"/>
                <w:szCs w:val="20"/>
                <w:lang w:eastAsia="zh-CN"/>
              </w:rPr>
              <w:t>For TA acquisition of a candidate cell before cell switch command is received, study at least the following alternatives of associating TA/TAG to candidate cell:</w:t>
            </w:r>
          </w:p>
          <w:p w14:paraId="5DE6E3D3" w14:textId="77777777" w:rsidR="00B23AB9" w:rsidRPr="00B23AB9" w:rsidRDefault="00B23AB9" w:rsidP="00B23AB9">
            <w:pPr>
              <w:numPr>
                <w:ilvl w:val="0"/>
                <w:numId w:val="19"/>
              </w:numPr>
              <w:shd w:val="clear" w:color="auto" w:fill="FFFFFF"/>
              <w:spacing w:line="252" w:lineRule="atLeast"/>
              <w:rPr>
                <w:rFonts w:ascii="MS PGothic" w:eastAsia="MS PGothic" w:hAnsi="MS PGothic" w:cs="SimSun"/>
                <w:color w:val="000000"/>
                <w:lang w:eastAsia="zh-CN"/>
              </w:rPr>
            </w:pPr>
            <w:r w:rsidRPr="00B23AB9">
              <w:rPr>
                <w:rFonts w:ascii="Times New Roman" w:eastAsia="MS PGothic" w:hAnsi="Times New Roman" w:cs="Times New Roman"/>
                <w:color w:val="000000"/>
                <w:sz w:val="20"/>
                <w:szCs w:val="20"/>
                <w:lang w:eastAsia="zh-CN"/>
              </w:rPr>
              <w:t>Alt1: Associate TA/TAG and candidate cell implicitly, e.g.,</w:t>
            </w:r>
          </w:p>
          <w:p w14:paraId="7DBEFB40" w14:textId="77777777" w:rsidR="00B23AB9" w:rsidRPr="00B23AB9" w:rsidRDefault="00B23AB9" w:rsidP="00B23AB9">
            <w:pPr>
              <w:numPr>
                <w:ilvl w:val="0"/>
                <w:numId w:val="18"/>
              </w:numPr>
              <w:shd w:val="clear" w:color="auto" w:fill="FFFFFF"/>
              <w:rPr>
                <w:rFonts w:ascii="Times New Roman" w:eastAsia="MS PGothic" w:hAnsi="Times New Roman" w:cs="Times New Roman"/>
                <w:color w:val="000000"/>
                <w:sz w:val="20"/>
                <w:szCs w:val="20"/>
                <w:lang w:eastAsia="zh-CN"/>
              </w:rPr>
            </w:pPr>
            <w:r w:rsidRPr="00B23AB9">
              <w:rPr>
                <w:rFonts w:ascii="Times New Roman" w:eastAsia="MS PGothic" w:hAnsi="Times New Roman" w:cs="Times New Roman"/>
                <w:color w:val="000000"/>
                <w:sz w:val="20"/>
                <w:szCs w:val="20"/>
                <w:lang w:eastAsia="zh-CN"/>
              </w:rPr>
              <w:t>the association between TA/TAG and TCI states can be configured</w:t>
            </w:r>
          </w:p>
          <w:p w14:paraId="22B9D225" w14:textId="77777777" w:rsidR="00B23AB9" w:rsidRPr="00B23AB9" w:rsidRDefault="00B23AB9" w:rsidP="00B23AB9">
            <w:pPr>
              <w:numPr>
                <w:ilvl w:val="0"/>
                <w:numId w:val="19"/>
              </w:numPr>
              <w:shd w:val="clear" w:color="auto" w:fill="FFFFFF"/>
              <w:spacing w:line="252" w:lineRule="atLeast"/>
              <w:rPr>
                <w:rFonts w:ascii="MS PGothic" w:eastAsia="MS PGothic" w:hAnsi="MS PGothic" w:cs="SimSun"/>
                <w:color w:val="000000"/>
                <w:lang w:eastAsia="zh-CN"/>
              </w:rPr>
            </w:pPr>
            <w:r w:rsidRPr="00B23AB9">
              <w:rPr>
                <w:rFonts w:ascii="Times New Roman" w:eastAsia="MS PGothic" w:hAnsi="Times New Roman" w:cs="Times New Roman"/>
                <w:color w:val="000000"/>
                <w:sz w:val="20"/>
                <w:szCs w:val="20"/>
                <w:lang w:eastAsia="zh-CN"/>
              </w:rPr>
              <w:t>Alt2: Associate TA/TAG and candidate cell explicitly, e.g.,</w:t>
            </w:r>
          </w:p>
          <w:p w14:paraId="4DBF8DB6" w14:textId="77777777" w:rsidR="00B23AB9" w:rsidRPr="00B23AB9" w:rsidRDefault="00B23AB9" w:rsidP="00B23AB9">
            <w:pPr>
              <w:numPr>
                <w:ilvl w:val="0"/>
                <w:numId w:val="18"/>
              </w:numPr>
              <w:shd w:val="clear" w:color="auto" w:fill="FFFFFF"/>
              <w:rPr>
                <w:rFonts w:ascii="Times New Roman" w:eastAsia="MS PGothic" w:hAnsi="Times New Roman" w:cs="Times New Roman"/>
                <w:color w:val="000000"/>
                <w:sz w:val="20"/>
                <w:szCs w:val="20"/>
                <w:lang w:eastAsia="zh-CN"/>
              </w:rPr>
            </w:pPr>
            <w:r w:rsidRPr="00B23AB9">
              <w:rPr>
                <w:rFonts w:ascii="Times New Roman" w:eastAsia="MS PGothic" w:hAnsi="Times New Roman" w:cs="Times New Roman"/>
                <w:color w:val="000000"/>
                <w:sz w:val="20"/>
                <w:szCs w:val="20"/>
                <w:lang w:eastAsia="zh-CN"/>
              </w:rPr>
              <w:t>the association is provided as a part of candidate cell(s) configuration</w:t>
            </w:r>
          </w:p>
          <w:p w14:paraId="0DA76623" w14:textId="32491CBA" w:rsidR="00B23AB9" w:rsidRPr="00B23AB9" w:rsidRDefault="00B23AB9" w:rsidP="0049621A">
            <w:pPr>
              <w:numPr>
                <w:ilvl w:val="0"/>
                <w:numId w:val="18"/>
              </w:numPr>
              <w:shd w:val="clear" w:color="auto" w:fill="FFFFFF"/>
              <w:rPr>
                <w:rFonts w:ascii="Times New Roman" w:eastAsia="MS PGothic" w:hAnsi="Times New Roman" w:cs="Times New Roman"/>
                <w:color w:val="000000"/>
                <w:sz w:val="20"/>
                <w:szCs w:val="20"/>
                <w:lang w:eastAsia="zh-CN"/>
              </w:rPr>
            </w:pPr>
            <w:r w:rsidRPr="00B23AB9">
              <w:rPr>
                <w:rFonts w:ascii="Times New Roman" w:eastAsia="MS PGothic" w:hAnsi="Times New Roman" w:cs="Times New Roman"/>
                <w:color w:val="000000"/>
                <w:sz w:val="20"/>
                <w:szCs w:val="20"/>
                <w:lang w:eastAsia="zh-CN"/>
              </w:rPr>
              <w:t>the association between TA/TAG and SSB(s)/TRS(s) is provided as a part of candidate cell(s) configuration</w:t>
            </w:r>
          </w:p>
        </w:tc>
      </w:tr>
    </w:tbl>
    <w:p w14:paraId="2E8F1813" w14:textId="085895AF" w:rsidR="00B23AB9" w:rsidRDefault="000967BB" w:rsidP="0049621A">
      <w:pPr>
        <w:rPr>
          <w:rFonts w:ascii="Times New Roman" w:hAnsi="Times New Roman" w:cs="Times New Roman"/>
          <w:sz w:val="20"/>
          <w:szCs w:val="20"/>
        </w:rPr>
      </w:pPr>
      <w:r>
        <w:rPr>
          <w:rFonts w:ascii="Times New Roman" w:hAnsi="Times New Roman" w:cs="Times New Roman"/>
          <w:sz w:val="20"/>
          <w:szCs w:val="20"/>
        </w:rPr>
        <w:t>The second agreement above considers two alternatives for associating TA/TAG to candidate cell.</w:t>
      </w:r>
    </w:p>
    <w:p w14:paraId="1D40F5A6" w14:textId="79017C31" w:rsidR="004A2C70" w:rsidRDefault="000967BB" w:rsidP="0049621A">
      <w:pPr>
        <w:rPr>
          <w:rFonts w:ascii="Times New Roman" w:hAnsi="Times New Roman" w:cs="Times New Roman"/>
          <w:sz w:val="20"/>
          <w:szCs w:val="20"/>
        </w:rPr>
      </w:pPr>
      <w:r>
        <w:rPr>
          <w:rFonts w:ascii="Times New Roman" w:hAnsi="Times New Roman" w:cs="Times New Roman"/>
          <w:sz w:val="20"/>
          <w:szCs w:val="20"/>
        </w:rPr>
        <w:t>Alt. 1 does not directly associate TA/TAG to a candidate cell but instead relies on a configured association between TA/TAG and TCI state</w:t>
      </w:r>
      <w:r w:rsidR="002028A0">
        <w:rPr>
          <w:rFonts w:ascii="Times New Roman" w:hAnsi="Times New Roman" w:cs="Times New Roman"/>
          <w:sz w:val="20"/>
          <w:szCs w:val="20"/>
        </w:rPr>
        <w:t>. This solution assumes that the UE has previously received configuration for a TCI state for which the QCL reference is a resource corresponding to the candidate cell (e.g. SSB with PCI of candidate cell).</w:t>
      </w:r>
      <w:r w:rsidR="0071534B">
        <w:rPr>
          <w:rFonts w:ascii="Times New Roman" w:hAnsi="Times New Roman" w:cs="Times New Roman"/>
          <w:sz w:val="20"/>
          <w:szCs w:val="20"/>
        </w:rPr>
        <w:t xml:space="preserve"> </w:t>
      </w:r>
      <w:r w:rsidR="004A2C70">
        <w:rPr>
          <w:rFonts w:ascii="Times New Roman" w:hAnsi="Times New Roman" w:cs="Times New Roman"/>
          <w:sz w:val="20"/>
          <w:szCs w:val="20"/>
        </w:rPr>
        <w:t xml:space="preserve">If the UE already knows the TA applicable to the TCI state, the cell switch command only needs to indicate the TCI state. </w:t>
      </w:r>
      <w:r w:rsidR="00EB51C1">
        <w:rPr>
          <w:rFonts w:ascii="Times New Roman" w:hAnsi="Times New Roman" w:cs="Times New Roman"/>
          <w:sz w:val="20"/>
          <w:szCs w:val="20"/>
        </w:rPr>
        <w:t xml:space="preserve">Such situation is likely in ICBM scenario if the UE supports multiple TA’s. </w:t>
      </w:r>
      <w:r w:rsidR="004A2C70">
        <w:rPr>
          <w:rFonts w:ascii="Times New Roman" w:hAnsi="Times New Roman" w:cs="Times New Roman"/>
          <w:sz w:val="20"/>
          <w:szCs w:val="20"/>
        </w:rPr>
        <w:t xml:space="preserve">If the UE does not already know </w:t>
      </w:r>
      <w:r w:rsidR="004A2C70">
        <w:rPr>
          <w:rFonts w:ascii="Times New Roman" w:hAnsi="Times New Roman" w:cs="Times New Roman"/>
          <w:sz w:val="20"/>
          <w:szCs w:val="20"/>
        </w:rPr>
        <w:lastRenderedPageBreak/>
        <w:t>the TA applicable to the TCI state, the network can provide this TA (</w:t>
      </w:r>
      <w:r w:rsidR="00EB51C1">
        <w:rPr>
          <w:rFonts w:ascii="Times New Roman" w:hAnsi="Times New Roman" w:cs="Times New Roman"/>
          <w:sz w:val="20"/>
          <w:szCs w:val="20"/>
        </w:rPr>
        <w:t xml:space="preserve">assuming </w:t>
      </w:r>
      <w:r w:rsidR="008B0110">
        <w:rPr>
          <w:rFonts w:ascii="Times New Roman" w:hAnsi="Times New Roman" w:cs="Times New Roman"/>
          <w:sz w:val="20"/>
          <w:szCs w:val="20"/>
        </w:rPr>
        <w:t xml:space="preserve">it </w:t>
      </w:r>
      <w:r w:rsidR="004A2C70">
        <w:rPr>
          <w:rFonts w:ascii="Times New Roman" w:hAnsi="Times New Roman" w:cs="Times New Roman"/>
          <w:sz w:val="20"/>
          <w:szCs w:val="20"/>
        </w:rPr>
        <w:t>know</w:t>
      </w:r>
      <w:r w:rsidR="008B0110">
        <w:rPr>
          <w:rFonts w:ascii="Times New Roman" w:hAnsi="Times New Roman" w:cs="Times New Roman"/>
          <w:sz w:val="20"/>
          <w:szCs w:val="20"/>
        </w:rPr>
        <w:t>s it</w:t>
      </w:r>
      <w:r w:rsidR="004A2C70">
        <w:rPr>
          <w:rFonts w:ascii="Times New Roman" w:hAnsi="Times New Roman" w:cs="Times New Roman"/>
          <w:sz w:val="20"/>
          <w:szCs w:val="20"/>
        </w:rPr>
        <w:t>) in the cell switch command along with the TCI state</w:t>
      </w:r>
      <w:r w:rsidR="008B0110">
        <w:rPr>
          <w:rFonts w:ascii="Times New Roman" w:hAnsi="Times New Roman" w:cs="Times New Roman"/>
          <w:sz w:val="20"/>
          <w:szCs w:val="20"/>
        </w:rPr>
        <w:t>.</w:t>
      </w:r>
    </w:p>
    <w:p w14:paraId="1A680D08" w14:textId="666E7FCD" w:rsidR="00EB51C1" w:rsidRDefault="00EB51C1" w:rsidP="0049621A">
      <w:pPr>
        <w:rPr>
          <w:rFonts w:ascii="Times New Roman" w:hAnsi="Times New Roman" w:cs="Times New Roman"/>
          <w:sz w:val="20"/>
          <w:szCs w:val="20"/>
        </w:rPr>
      </w:pPr>
      <w:r w:rsidRPr="00EB51C1">
        <w:rPr>
          <w:rFonts w:ascii="Times New Roman" w:hAnsi="Times New Roman" w:cs="Times New Roman"/>
          <w:sz w:val="20"/>
          <w:szCs w:val="20"/>
        </w:rPr>
        <w:t>Alt. 2 directly associates TA/TAG to</w:t>
      </w:r>
      <w:r>
        <w:rPr>
          <w:rFonts w:ascii="Times New Roman" w:hAnsi="Times New Roman" w:cs="Times New Roman"/>
          <w:sz w:val="20"/>
          <w:szCs w:val="20"/>
        </w:rPr>
        <w:t xml:space="preserve"> a candidate cell or to a resource associated to the candidate cell</w:t>
      </w:r>
      <w:r w:rsidR="00A50FC8">
        <w:rPr>
          <w:rFonts w:ascii="Times New Roman" w:hAnsi="Times New Roman" w:cs="Times New Roman"/>
          <w:sz w:val="20"/>
          <w:szCs w:val="20"/>
        </w:rPr>
        <w:t>. This solution assumes that the UE has previously received configuration associating a TA/TAG to each resource, either by RRC or dynamically following L1/2 report from the UE indicating detection of these resources. As in Alt. 1, the cell switch command can contain TA or not depending on whether the UE already knows the TA applicable to the resource.</w:t>
      </w:r>
    </w:p>
    <w:p w14:paraId="3829D515" w14:textId="4BD6AF8D" w:rsidR="00A50FC8" w:rsidRPr="00EB51C1" w:rsidRDefault="00A50FC8" w:rsidP="0049621A">
      <w:pPr>
        <w:rPr>
          <w:rFonts w:ascii="Times New Roman" w:hAnsi="Times New Roman" w:cs="Times New Roman"/>
          <w:sz w:val="20"/>
          <w:szCs w:val="20"/>
        </w:rPr>
      </w:pPr>
      <w:r>
        <w:rPr>
          <w:rFonts w:ascii="Times New Roman" w:hAnsi="Times New Roman" w:cs="Times New Roman"/>
          <w:sz w:val="20"/>
          <w:szCs w:val="20"/>
        </w:rPr>
        <w:t xml:space="preserve">It seems that both alternatives are workable. However, </w:t>
      </w:r>
      <w:r w:rsidR="00CC7919">
        <w:rPr>
          <w:rFonts w:ascii="Times New Roman" w:hAnsi="Times New Roman" w:cs="Times New Roman"/>
          <w:sz w:val="20"/>
          <w:szCs w:val="20"/>
        </w:rPr>
        <w:t xml:space="preserve">in the scenario where TA is acquired before cell switch command it </w:t>
      </w:r>
      <w:r w:rsidR="00C0497D">
        <w:rPr>
          <w:rFonts w:ascii="Times New Roman" w:hAnsi="Times New Roman" w:cs="Times New Roman"/>
          <w:sz w:val="20"/>
          <w:szCs w:val="20"/>
        </w:rPr>
        <w:t>is</w:t>
      </w:r>
      <w:r w:rsidR="00CC7919">
        <w:rPr>
          <w:rFonts w:ascii="Times New Roman" w:hAnsi="Times New Roman" w:cs="Times New Roman"/>
          <w:sz w:val="20"/>
          <w:szCs w:val="20"/>
        </w:rPr>
        <w:t xml:space="preserve"> likely that the cell switch command contains an indication of TCI state and Alt. 1 </w:t>
      </w:r>
      <w:r w:rsidR="00C0497D">
        <w:rPr>
          <w:rFonts w:ascii="Times New Roman" w:hAnsi="Times New Roman" w:cs="Times New Roman"/>
          <w:sz w:val="20"/>
          <w:szCs w:val="20"/>
        </w:rPr>
        <w:t>is</w:t>
      </w:r>
      <w:r w:rsidR="00CC7919">
        <w:rPr>
          <w:rFonts w:ascii="Times New Roman" w:hAnsi="Times New Roman" w:cs="Times New Roman"/>
          <w:sz w:val="20"/>
          <w:szCs w:val="20"/>
        </w:rPr>
        <w:t xml:space="preserve"> a more natural mechanism</w:t>
      </w:r>
      <w:r w:rsidR="00C80264">
        <w:rPr>
          <w:rFonts w:ascii="Times New Roman" w:hAnsi="Times New Roman" w:cs="Times New Roman"/>
          <w:sz w:val="20"/>
          <w:szCs w:val="20"/>
        </w:rPr>
        <w:t xml:space="preserve"> in that situation</w:t>
      </w:r>
      <w:r w:rsidR="00CC7919">
        <w:rPr>
          <w:rFonts w:ascii="Times New Roman" w:hAnsi="Times New Roman" w:cs="Times New Roman"/>
          <w:sz w:val="20"/>
          <w:szCs w:val="20"/>
        </w:rPr>
        <w:t>.</w:t>
      </w:r>
    </w:p>
    <w:p w14:paraId="1500AE7F" w14:textId="75669AF9" w:rsidR="00EB51C1" w:rsidRDefault="00C80264" w:rsidP="0049621A">
      <w:pPr>
        <w:rPr>
          <w:rFonts w:ascii="Times New Roman" w:hAnsi="Times New Roman" w:cs="Times New Roman"/>
          <w:b/>
          <w:bCs/>
          <w:i/>
          <w:iCs/>
          <w:sz w:val="20"/>
          <w:szCs w:val="20"/>
        </w:rPr>
      </w:pPr>
      <w:r w:rsidRPr="00C80264">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80264">
        <w:rPr>
          <w:rFonts w:ascii="Times New Roman" w:hAnsi="Times New Roman" w:cs="Times New Roman"/>
          <w:b/>
          <w:bCs/>
          <w:i/>
          <w:iCs/>
          <w:sz w:val="20"/>
          <w:szCs w:val="20"/>
        </w:rPr>
        <w:t>: Support association of TA/TAG to a TCI state.</w:t>
      </w:r>
    </w:p>
    <w:p w14:paraId="4D9F3BB6" w14:textId="3447B578" w:rsidR="007F3486" w:rsidRPr="00B23AB9" w:rsidRDefault="007F3486" w:rsidP="007F3486">
      <w:pPr>
        <w:pStyle w:val="Heading1"/>
        <w:rPr>
          <w:lang w:val="en-US"/>
        </w:rPr>
      </w:pPr>
      <w:r>
        <w:rPr>
          <w:lang w:val="en-US"/>
        </w:rPr>
        <w:t xml:space="preserve">Mechanisms to acquire </w:t>
      </w:r>
      <w:r w:rsidRPr="00B23AB9">
        <w:rPr>
          <w:lang w:val="en-US"/>
        </w:rPr>
        <w:t>TA of candidate cell</w:t>
      </w:r>
    </w:p>
    <w:p w14:paraId="7C542C07" w14:textId="3DE24AED" w:rsidR="00C80264" w:rsidRPr="00C80264" w:rsidRDefault="00C80264" w:rsidP="0049621A">
      <w:pPr>
        <w:rPr>
          <w:rFonts w:ascii="Times New Roman" w:hAnsi="Times New Roman" w:cs="Times New Roman"/>
          <w:sz w:val="20"/>
          <w:szCs w:val="20"/>
        </w:rPr>
      </w:pPr>
      <w:r>
        <w:rPr>
          <w:rFonts w:ascii="Times New Roman" w:hAnsi="Times New Roman" w:cs="Times New Roman"/>
          <w:sz w:val="20"/>
          <w:szCs w:val="20"/>
        </w:rPr>
        <w:t>RAN1 agreed to the following in RAN1#110bis-e:</w:t>
      </w:r>
    </w:p>
    <w:tbl>
      <w:tblPr>
        <w:tblStyle w:val="TableGrid"/>
        <w:tblW w:w="0" w:type="auto"/>
        <w:tblLook w:val="04A0" w:firstRow="1" w:lastRow="0" w:firstColumn="1" w:lastColumn="0" w:noHBand="0" w:noVBand="1"/>
      </w:tblPr>
      <w:tblGrid>
        <w:gridCol w:w="9350"/>
      </w:tblGrid>
      <w:tr w:rsidR="00C80264" w14:paraId="535D46C6" w14:textId="77777777" w:rsidTr="009E085A">
        <w:tc>
          <w:tcPr>
            <w:tcW w:w="9350" w:type="dxa"/>
          </w:tcPr>
          <w:p w14:paraId="1EF96A6F" w14:textId="77777777" w:rsidR="00C80264" w:rsidRPr="00C80264" w:rsidRDefault="00C80264" w:rsidP="00C80264">
            <w:pPr>
              <w:shd w:val="clear" w:color="auto" w:fill="FFFFFF"/>
              <w:rPr>
                <w:rFonts w:ascii="Times New Roman" w:eastAsia="MS PGothic" w:hAnsi="Times New Roman" w:cs="Times New Roman"/>
                <w:color w:val="000000"/>
                <w:sz w:val="20"/>
                <w:szCs w:val="20"/>
                <w:highlight w:val="green"/>
                <w:lang w:eastAsia="zh-CN"/>
              </w:rPr>
            </w:pPr>
            <w:r w:rsidRPr="00C80264">
              <w:rPr>
                <w:rFonts w:ascii="Times New Roman" w:eastAsia="MS PGothic" w:hAnsi="Times New Roman" w:cs="Times New Roman"/>
                <w:color w:val="000000"/>
                <w:sz w:val="20"/>
                <w:szCs w:val="20"/>
                <w:highlight w:val="green"/>
                <w:shd w:val="clear" w:color="auto" w:fill="FFFF00"/>
                <w:lang w:eastAsia="zh-CN"/>
              </w:rPr>
              <w:t>Agreement</w:t>
            </w:r>
          </w:p>
          <w:p w14:paraId="6174E9C8" w14:textId="77777777" w:rsidR="00C80264" w:rsidRPr="00C80264" w:rsidRDefault="00C80264" w:rsidP="00C80264">
            <w:pPr>
              <w:shd w:val="clear" w:color="auto" w:fill="FFFFFF"/>
              <w:rPr>
                <w:rFonts w:ascii="MS PGothic" w:eastAsia="MS PGothic" w:hAnsi="MS PGothic" w:cs="SimSun"/>
                <w:color w:val="000000"/>
                <w:lang w:eastAsia="zh-CN"/>
              </w:rPr>
            </w:pPr>
            <w:r w:rsidRPr="00C80264">
              <w:rPr>
                <w:rFonts w:ascii="Times New Roman" w:eastAsia="MS PGothic" w:hAnsi="Times New Roman" w:cs="Times New Roman"/>
                <w:color w:val="000000"/>
                <w:sz w:val="20"/>
                <w:szCs w:val="20"/>
                <w:lang w:eastAsia="zh-CN"/>
              </w:rPr>
              <w:t>On mechanism to acquire TA of the candidate cells, the following solutions can be further studied:</w:t>
            </w:r>
          </w:p>
          <w:p w14:paraId="5D39861B" w14:textId="77777777" w:rsidR="00C80264" w:rsidRPr="00C80264" w:rsidRDefault="00C80264" w:rsidP="00C80264">
            <w:pPr>
              <w:shd w:val="clear" w:color="auto" w:fill="FFFFFF"/>
              <w:spacing w:before="100" w:beforeAutospacing="1" w:line="252" w:lineRule="atLeast"/>
              <w:ind w:left="420" w:hanging="420"/>
              <w:rPr>
                <w:rFonts w:ascii="Calibri" w:eastAsia="SimSun" w:hAnsi="Calibri" w:cs="Calibri"/>
                <w:color w:val="000000"/>
                <w:sz w:val="20"/>
                <w:szCs w:val="20"/>
                <w:lang w:eastAsia="zh-CN"/>
              </w:rPr>
            </w:pPr>
            <w:r w:rsidRPr="00C80264">
              <w:rPr>
                <w:rFonts w:ascii="Times New Roman" w:eastAsia="SimSun" w:hAnsi="Times New Roman" w:cs="Times New Roman"/>
                <w:color w:val="000000"/>
                <w:sz w:val="20"/>
                <w:szCs w:val="20"/>
                <w:lang w:eastAsia="zh-CN"/>
              </w:rPr>
              <w:t>•         RACH-based solutions</w:t>
            </w:r>
          </w:p>
          <w:p w14:paraId="02DA9B98" w14:textId="77777777" w:rsidR="00C80264" w:rsidRPr="00C80264" w:rsidRDefault="00C80264" w:rsidP="00C80264">
            <w:pPr>
              <w:shd w:val="clear" w:color="auto" w:fill="FFFFFF"/>
              <w:ind w:firstLine="660"/>
              <w:rPr>
                <w:rFonts w:ascii="MS PGothic" w:eastAsia="MS PGothic" w:hAnsi="MS PGothic" w:cs="SimSun"/>
                <w:color w:val="000000"/>
                <w:lang w:eastAsia="zh-CN"/>
              </w:rPr>
            </w:pPr>
            <w:r w:rsidRPr="00C80264">
              <w:rPr>
                <w:rFonts w:ascii="Times New Roman" w:eastAsia="MS PGothic" w:hAnsi="Times New Roman" w:cs="Times New Roman"/>
                <w:color w:val="000000"/>
                <w:sz w:val="20"/>
                <w:szCs w:val="20"/>
                <w:lang w:eastAsia="zh-CN"/>
              </w:rPr>
              <w:t xml:space="preserve">e.g., PDCCH ordered RACH, UE-triggered RACH, higher layer triggered RACH from NW other than L3 HO </w:t>
            </w:r>
            <w:proofErr w:type="spellStart"/>
            <w:r w:rsidRPr="00C80264">
              <w:rPr>
                <w:rFonts w:ascii="Times New Roman" w:eastAsia="MS PGothic" w:hAnsi="Times New Roman" w:cs="Times New Roman"/>
                <w:color w:val="000000"/>
                <w:sz w:val="20"/>
                <w:szCs w:val="20"/>
                <w:lang w:eastAsia="zh-CN"/>
              </w:rPr>
              <w:t>cmd</w:t>
            </w:r>
            <w:proofErr w:type="spellEnd"/>
          </w:p>
          <w:p w14:paraId="178FCB45" w14:textId="77777777" w:rsidR="00C80264" w:rsidRPr="00C80264" w:rsidRDefault="00C80264" w:rsidP="00C80264">
            <w:pPr>
              <w:shd w:val="clear" w:color="auto" w:fill="FFFFFF"/>
              <w:spacing w:before="100" w:beforeAutospacing="1" w:line="252" w:lineRule="atLeast"/>
              <w:ind w:left="420" w:hanging="420"/>
              <w:rPr>
                <w:rFonts w:ascii="Calibri" w:eastAsia="SimSun" w:hAnsi="Calibri" w:cs="Calibri"/>
                <w:color w:val="000000"/>
                <w:sz w:val="20"/>
                <w:szCs w:val="20"/>
                <w:lang w:eastAsia="zh-CN"/>
              </w:rPr>
            </w:pPr>
            <w:r w:rsidRPr="00C80264">
              <w:rPr>
                <w:rFonts w:ascii="Times New Roman" w:eastAsia="SimSun" w:hAnsi="Times New Roman" w:cs="Times New Roman"/>
                <w:color w:val="000000"/>
                <w:sz w:val="20"/>
                <w:szCs w:val="20"/>
                <w:lang w:eastAsia="zh-CN"/>
              </w:rPr>
              <w:t>•         RACH-less solutions</w:t>
            </w:r>
          </w:p>
          <w:p w14:paraId="0F6C9358" w14:textId="30CD0846" w:rsidR="00C80264" w:rsidRPr="00C80264" w:rsidRDefault="00C80264" w:rsidP="00C80264">
            <w:pPr>
              <w:shd w:val="clear" w:color="auto" w:fill="FFFFFF"/>
              <w:ind w:firstLine="660"/>
              <w:rPr>
                <w:rFonts w:ascii="MS PGothic" w:eastAsia="MS PGothic" w:hAnsi="MS PGothic" w:cs="SimSun"/>
                <w:color w:val="000000"/>
                <w:lang w:eastAsia="zh-CN"/>
              </w:rPr>
            </w:pPr>
            <w:r w:rsidRPr="00C80264">
              <w:rPr>
                <w:rFonts w:ascii="Times New Roman" w:eastAsia="MS PGothic" w:hAnsi="Times New Roman" w:cs="Times New Roman"/>
                <w:color w:val="000000"/>
                <w:sz w:val="20"/>
                <w:szCs w:val="20"/>
                <w:lang w:eastAsia="zh-CN"/>
              </w:rPr>
              <w:t>e.g., SRS based TA acquisition, Rx timing difference based, RACH-less mechanism as in LTE, UE based TA measurement (including UE based TA measurement with one TAC from serving cell)</w:t>
            </w:r>
          </w:p>
        </w:tc>
      </w:tr>
    </w:tbl>
    <w:p w14:paraId="2D2F4F21" w14:textId="77777777" w:rsidR="003D3C75" w:rsidRDefault="00C96E8E" w:rsidP="007F3486">
      <w:pPr>
        <w:spacing w:before="240"/>
        <w:rPr>
          <w:rFonts w:ascii="Times New Roman" w:hAnsi="Times New Roman" w:cs="Times New Roman"/>
          <w:sz w:val="20"/>
          <w:szCs w:val="20"/>
        </w:rPr>
      </w:pPr>
      <w:r>
        <w:rPr>
          <w:rFonts w:ascii="Times New Roman" w:hAnsi="Times New Roman" w:cs="Times New Roman"/>
          <w:sz w:val="20"/>
          <w:szCs w:val="20"/>
        </w:rPr>
        <w:t xml:space="preserve">It should be noted that the agreement refers to a “mechanism to acquire TA of the candidate cells” without reference to whether such acquisition takes place before or following reception of cell switch command. With this understanding, a first observation is that TA acquisition is normally achieved as part of a RACH procedure and as such, </w:t>
      </w:r>
      <w:r w:rsidR="003056A2">
        <w:rPr>
          <w:rFonts w:ascii="Times New Roman" w:hAnsi="Times New Roman" w:cs="Times New Roman"/>
          <w:sz w:val="20"/>
          <w:szCs w:val="20"/>
        </w:rPr>
        <w:t xml:space="preserve">at least </w:t>
      </w:r>
      <w:r>
        <w:rPr>
          <w:rFonts w:ascii="Times New Roman" w:hAnsi="Times New Roman" w:cs="Times New Roman"/>
          <w:sz w:val="20"/>
          <w:szCs w:val="20"/>
        </w:rPr>
        <w:t xml:space="preserve">RACH-based </w:t>
      </w:r>
      <w:r w:rsidR="003056A2">
        <w:rPr>
          <w:rFonts w:ascii="Times New Roman" w:hAnsi="Times New Roman" w:cs="Times New Roman"/>
          <w:sz w:val="20"/>
          <w:szCs w:val="20"/>
        </w:rPr>
        <w:t>acquisition</w:t>
      </w:r>
      <w:r>
        <w:rPr>
          <w:rFonts w:ascii="Times New Roman" w:hAnsi="Times New Roman" w:cs="Times New Roman"/>
          <w:sz w:val="20"/>
          <w:szCs w:val="20"/>
        </w:rPr>
        <w:t xml:space="preserve"> need</w:t>
      </w:r>
      <w:r w:rsidR="003056A2">
        <w:rPr>
          <w:rFonts w:ascii="Times New Roman" w:hAnsi="Times New Roman" w:cs="Times New Roman"/>
          <w:sz w:val="20"/>
          <w:szCs w:val="20"/>
        </w:rPr>
        <w:t>s</w:t>
      </w:r>
      <w:r>
        <w:rPr>
          <w:rFonts w:ascii="Times New Roman" w:hAnsi="Times New Roman" w:cs="Times New Roman"/>
          <w:sz w:val="20"/>
          <w:szCs w:val="20"/>
        </w:rPr>
        <w:t xml:space="preserve"> to be </w:t>
      </w:r>
      <w:r w:rsidR="003056A2">
        <w:rPr>
          <w:rFonts w:ascii="Times New Roman" w:hAnsi="Times New Roman" w:cs="Times New Roman"/>
          <w:sz w:val="20"/>
          <w:szCs w:val="20"/>
        </w:rPr>
        <w:t>supported</w:t>
      </w:r>
      <w:r>
        <w:rPr>
          <w:rFonts w:ascii="Times New Roman" w:hAnsi="Times New Roman" w:cs="Times New Roman"/>
          <w:sz w:val="20"/>
          <w:szCs w:val="20"/>
        </w:rPr>
        <w:t xml:space="preserve"> as baseline. </w:t>
      </w:r>
    </w:p>
    <w:p w14:paraId="6C1B09BF" w14:textId="604E7212" w:rsidR="003D3C75" w:rsidRPr="003D3C75" w:rsidRDefault="003D3C75" w:rsidP="0049621A">
      <w:pPr>
        <w:rPr>
          <w:rFonts w:ascii="Times New Roman" w:hAnsi="Times New Roman" w:cs="Times New Roman"/>
          <w:b/>
          <w:bCs/>
          <w:i/>
          <w:iCs/>
          <w:sz w:val="20"/>
          <w:szCs w:val="20"/>
        </w:rPr>
      </w:pPr>
      <w:r w:rsidRPr="003D3C75">
        <w:rPr>
          <w:rFonts w:ascii="Times New Roman" w:hAnsi="Times New Roman" w:cs="Times New Roman"/>
          <w:b/>
          <w:bCs/>
          <w:i/>
          <w:iCs/>
          <w:sz w:val="20"/>
          <w:szCs w:val="20"/>
        </w:rPr>
        <w:t>Proposal 2: Support RACH-based acquisition of TA of candidate cells.</w:t>
      </w:r>
    </w:p>
    <w:p w14:paraId="15AB4A2B" w14:textId="049254CA" w:rsidR="00237E36" w:rsidRDefault="003056A2" w:rsidP="0049621A">
      <w:pPr>
        <w:rPr>
          <w:rFonts w:ascii="Times New Roman" w:hAnsi="Times New Roman" w:cs="Times New Roman"/>
          <w:sz w:val="20"/>
          <w:szCs w:val="20"/>
        </w:rPr>
      </w:pPr>
      <w:r>
        <w:rPr>
          <w:rFonts w:ascii="Times New Roman" w:hAnsi="Times New Roman" w:cs="Times New Roman"/>
          <w:sz w:val="20"/>
          <w:szCs w:val="20"/>
        </w:rPr>
        <w:t>Multiple types of RACH procedures can be supported depending on the scenario</w:t>
      </w:r>
      <w:r w:rsidR="003D3C75">
        <w:rPr>
          <w:rFonts w:ascii="Times New Roman" w:hAnsi="Times New Roman" w:cs="Times New Roman"/>
          <w:sz w:val="20"/>
          <w:szCs w:val="20"/>
        </w:rPr>
        <w:t xml:space="preserve">. For acquisition of TA of candidate cell before cell switch, it </w:t>
      </w:r>
      <w:r w:rsidR="00C0497D">
        <w:rPr>
          <w:rFonts w:ascii="Times New Roman" w:hAnsi="Times New Roman" w:cs="Times New Roman"/>
          <w:sz w:val="20"/>
          <w:szCs w:val="20"/>
        </w:rPr>
        <w:t>is</w:t>
      </w:r>
      <w:r w:rsidR="003D3C75">
        <w:rPr>
          <w:rFonts w:ascii="Times New Roman" w:hAnsi="Times New Roman" w:cs="Times New Roman"/>
          <w:sz w:val="20"/>
          <w:szCs w:val="20"/>
        </w:rPr>
        <w:t xml:space="preserve"> preferable that the network has control over the initiation of RACH procedure(s) since TA acquisition may not be required</w:t>
      </w:r>
      <w:r w:rsidR="00237E36">
        <w:rPr>
          <w:rFonts w:ascii="Times New Roman" w:hAnsi="Times New Roman" w:cs="Times New Roman"/>
          <w:sz w:val="20"/>
          <w:szCs w:val="20"/>
        </w:rPr>
        <w:t xml:space="preserve"> for all detected candidate cells. This means that PDCCH-ordered RACH should be supported. Whether this procedure includes </w:t>
      </w:r>
      <w:r w:rsidR="00F035BB">
        <w:rPr>
          <w:rFonts w:ascii="Times New Roman" w:hAnsi="Times New Roman" w:cs="Times New Roman"/>
          <w:sz w:val="20"/>
          <w:szCs w:val="20"/>
        </w:rPr>
        <w:t xml:space="preserve">a subset of, or </w:t>
      </w:r>
      <w:r w:rsidR="00237E36">
        <w:rPr>
          <w:rFonts w:ascii="Times New Roman" w:hAnsi="Times New Roman" w:cs="Times New Roman"/>
          <w:sz w:val="20"/>
          <w:szCs w:val="20"/>
        </w:rPr>
        <w:t xml:space="preserve">all steps of legacy RACH procedure </w:t>
      </w:r>
      <w:r w:rsidR="00F035BB">
        <w:rPr>
          <w:rFonts w:ascii="Times New Roman" w:hAnsi="Times New Roman" w:cs="Times New Roman"/>
          <w:sz w:val="20"/>
          <w:szCs w:val="20"/>
        </w:rPr>
        <w:t>can be further discussed.</w:t>
      </w:r>
    </w:p>
    <w:p w14:paraId="7848D440" w14:textId="2CC637A7" w:rsidR="00237E36" w:rsidRPr="00237E36" w:rsidRDefault="00237E36" w:rsidP="0049621A">
      <w:pPr>
        <w:rPr>
          <w:rFonts w:ascii="Times New Roman" w:hAnsi="Times New Roman" w:cs="Times New Roman"/>
          <w:b/>
          <w:bCs/>
          <w:i/>
          <w:iCs/>
          <w:sz w:val="20"/>
          <w:szCs w:val="20"/>
        </w:rPr>
      </w:pPr>
      <w:r w:rsidRPr="00237E36">
        <w:rPr>
          <w:rFonts w:ascii="Times New Roman" w:hAnsi="Times New Roman" w:cs="Times New Roman"/>
          <w:b/>
          <w:bCs/>
          <w:i/>
          <w:iCs/>
          <w:sz w:val="20"/>
          <w:szCs w:val="20"/>
        </w:rPr>
        <w:t xml:space="preserve">Proposal 3: Support PDCCH-ordered RACH </w:t>
      </w:r>
      <w:r>
        <w:rPr>
          <w:rFonts w:ascii="Times New Roman" w:hAnsi="Times New Roman" w:cs="Times New Roman"/>
          <w:b/>
          <w:bCs/>
          <w:i/>
          <w:iCs/>
          <w:sz w:val="20"/>
          <w:szCs w:val="20"/>
        </w:rPr>
        <w:t>procedure</w:t>
      </w:r>
      <w:r w:rsidRPr="00237E36">
        <w:rPr>
          <w:rFonts w:ascii="Times New Roman" w:hAnsi="Times New Roman" w:cs="Times New Roman"/>
          <w:b/>
          <w:bCs/>
          <w:i/>
          <w:iCs/>
          <w:sz w:val="20"/>
          <w:szCs w:val="20"/>
        </w:rPr>
        <w:t xml:space="preserve"> for acquisition of TA of candidate cells before cell switch.</w:t>
      </w:r>
    </w:p>
    <w:p w14:paraId="3D977398" w14:textId="6CBC22DA" w:rsidR="00C96E8E" w:rsidRDefault="00237E36" w:rsidP="0049621A">
      <w:pPr>
        <w:rPr>
          <w:rFonts w:ascii="Times New Roman" w:hAnsi="Times New Roman" w:cs="Times New Roman"/>
          <w:sz w:val="20"/>
          <w:szCs w:val="20"/>
        </w:rPr>
      </w:pPr>
      <w:r>
        <w:rPr>
          <w:rFonts w:ascii="Times New Roman" w:hAnsi="Times New Roman" w:cs="Times New Roman"/>
          <w:sz w:val="20"/>
          <w:szCs w:val="20"/>
        </w:rPr>
        <w:t>In case acquisition of TA of candidate cell cannot be performed before cell switch (e.g. in case of unexpected change in radio conditions),</w:t>
      </w:r>
      <w:r w:rsidR="00F035BB">
        <w:rPr>
          <w:rFonts w:ascii="Times New Roman" w:hAnsi="Times New Roman" w:cs="Times New Roman"/>
          <w:sz w:val="20"/>
          <w:szCs w:val="20"/>
        </w:rPr>
        <w:t xml:space="preserve"> it needs to be triggered following reception of the cell switch command. Different alternatives can be envisioned for this, e.g.:</w:t>
      </w:r>
    </w:p>
    <w:p w14:paraId="0892027B" w14:textId="3065F97C" w:rsidR="00F035BB" w:rsidRDefault="00F035BB" w:rsidP="00F035BB">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 xml:space="preserve">Alt. 1: </w:t>
      </w:r>
      <w:r w:rsidRPr="00F035BB">
        <w:rPr>
          <w:rFonts w:ascii="Times New Roman" w:hAnsi="Times New Roman" w:cs="Times New Roman"/>
          <w:sz w:val="20"/>
          <w:szCs w:val="20"/>
        </w:rPr>
        <w:t xml:space="preserve">UE gets explicit indication </w:t>
      </w:r>
      <w:r>
        <w:rPr>
          <w:rFonts w:ascii="Times New Roman" w:hAnsi="Times New Roman" w:cs="Times New Roman"/>
          <w:sz w:val="20"/>
          <w:szCs w:val="20"/>
        </w:rPr>
        <w:t xml:space="preserve">to initiate RACH </w:t>
      </w:r>
      <w:r w:rsidRPr="00F035BB">
        <w:rPr>
          <w:rFonts w:ascii="Times New Roman" w:hAnsi="Times New Roman" w:cs="Times New Roman"/>
          <w:sz w:val="20"/>
          <w:szCs w:val="20"/>
        </w:rPr>
        <w:t>in cell s</w:t>
      </w:r>
      <w:r>
        <w:rPr>
          <w:rFonts w:ascii="Times New Roman" w:hAnsi="Times New Roman" w:cs="Times New Roman"/>
          <w:sz w:val="20"/>
          <w:szCs w:val="20"/>
        </w:rPr>
        <w:t>witch command (e.g. in MAC CE), possibly with a PRACH resource;</w:t>
      </w:r>
    </w:p>
    <w:p w14:paraId="7DD80FDD" w14:textId="03078304" w:rsidR="00F035BB" w:rsidRDefault="00F035BB" w:rsidP="00F035BB">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Alt. 2: UE triggers RACH if it does not have valid TA for the candidate cell (TCI state), based on the TAG associated to this cell or TCI state.</w:t>
      </w:r>
    </w:p>
    <w:p w14:paraId="5239DDDC" w14:textId="2D2FF831" w:rsidR="00F035BB" w:rsidRDefault="00F035BB" w:rsidP="00F035BB">
      <w:pPr>
        <w:rPr>
          <w:rFonts w:ascii="Times New Roman" w:hAnsi="Times New Roman" w:cs="Times New Roman"/>
          <w:sz w:val="20"/>
          <w:szCs w:val="20"/>
        </w:rPr>
      </w:pPr>
    </w:p>
    <w:p w14:paraId="24513796" w14:textId="777E8A8B" w:rsidR="00F035BB" w:rsidRPr="00244082" w:rsidRDefault="00F035BB" w:rsidP="00F035BB">
      <w:pPr>
        <w:rPr>
          <w:rFonts w:ascii="Times New Roman" w:hAnsi="Times New Roman" w:cs="Times New Roman"/>
          <w:b/>
          <w:bCs/>
          <w:i/>
          <w:iCs/>
          <w:sz w:val="20"/>
          <w:szCs w:val="20"/>
        </w:rPr>
      </w:pPr>
      <w:r w:rsidRPr="00244082">
        <w:rPr>
          <w:rFonts w:ascii="Times New Roman" w:hAnsi="Times New Roman" w:cs="Times New Roman"/>
          <w:b/>
          <w:bCs/>
          <w:i/>
          <w:iCs/>
          <w:sz w:val="20"/>
          <w:szCs w:val="20"/>
        </w:rPr>
        <w:lastRenderedPageBreak/>
        <w:t xml:space="preserve">Proposal 4: Support at least one of the following </w:t>
      </w:r>
      <w:r w:rsidR="00244082" w:rsidRPr="00244082">
        <w:rPr>
          <w:rFonts w:ascii="Times New Roman" w:hAnsi="Times New Roman" w:cs="Times New Roman"/>
          <w:b/>
          <w:bCs/>
          <w:i/>
          <w:iCs/>
          <w:sz w:val="20"/>
          <w:szCs w:val="20"/>
        </w:rPr>
        <w:t xml:space="preserve">triggers of RACH procedure </w:t>
      </w:r>
      <w:r w:rsidRPr="00244082">
        <w:rPr>
          <w:rFonts w:ascii="Times New Roman" w:hAnsi="Times New Roman" w:cs="Times New Roman"/>
          <w:b/>
          <w:bCs/>
          <w:i/>
          <w:iCs/>
          <w:sz w:val="20"/>
          <w:szCs w:val="20"/>
        </w:rPr>
        <w:t>for acquisition of TA of candidate cell after reception of cell switch command:</w:t>
      </w:r>
    </w:p>
    <w:p w14:paraId="7E5A381A" w14:textId="4E7561D1" w:rsidR="00F035BB" w:rsidRPr="00244082" w:rsidRDefault="00244082" w:rsidP="00F035BB">
      <w:pPr>
        <w:pStyle w:val="ListParagraph"/>
        <w:numPr>
          <w:ilvl w:val="0"/>
          <w:numId w:val="20"/>
        </w:numPr>
        <w:rPr>
          <w:rFonts w:ascii="Times New Roman" w:hAnsi="Times New Roman" w:cs="Times New Roman"/>
          <w:b/>
          <w:bCs/>
          <w:i/>
          <w:iCs/>
          <w:sz w:val="20"/>
          <w:szCs w:val="20"/>
        </w:rPr>
      </w:pPr>
      <w:r w:rsidRPr="00244082">
        <w:rPr>
          <w:rFonts w:ascii="Times New Roman" w:hAnsi="Times New Roman" w:cs="Times New Roman"/>
          <w:b/>
          <w:bCs/>
          <w:i/>
          <w:iCs/>
          <w:sz w:val="20"/>
          <w:szCs w:val="20"/>
        </w:rPr>
        <w:t>Explicit indication in cell switch command;</w:t>
      </w:r>
    </w:p>
    <w:p w14:paraId="54A2CBEF" w14:textId="05437043" w:rsidR="00244082" w:rsidRPr="00244082" w:rsidRDefault="00244082" w:rsidP="00F035BB">
      <w:pPr>
        <w:pStyle w:val="ListParagraph"/>
        <w:numPr>
          <w:ilvl w:val="0"/>
          <w:numId w:val="20"/>
        </w:numPr>
        <w:rPr>
          <w:rFonts w:ascii="Times New Roman" w:hAnsi="Times New Roman" w:cs="Times New Roman"/>
          <w:b/>
          <w:bCs/>
          <w:i/>
          <w:iCs/>
          <w:sz w:val="20"/>
          <w:szCs w:val="20"/>
        </w:rPr>
      </w:pPr>
      <w:r w:rsidRPr="00244082">
        <w:rPr>
          <w:rFonts w:ascii="Times New Roman" w:hAnsi="Times New Roman" w:cs="Times New Roman"/>
          <w:b/>
          <w:bCs/>
          <w:i/>
          <w:iCs/>
          <w:sz w:val="20"/>
          <w:szCs w:val="20"/>
        </w:rPr>
        <w:t>No valid TA for TAG associated to target cell or TCI state.</w:t>
      </w:r>
    </w:p>
    <w:p w14:paraId="6952269D" w14:textId="36EDAFB7" w:rsidR="002C16AA" w:rsidRDefault="008F5032" w:rsidP="002C16AA">
      <w:pPr>
        <w:spacing w:before="240"/>
        <w:rPr>
          <w:rFonts w:ascii="Times New Roman" w:hAnsi="Times New Roman" w:cs="Times New Roman"/>
          <w:sz w:val="20"/>
          <w:szCs w:val="20"/>
        </w:rPr>
      </w:pPr>
      <w:r>
        <w:rPr>
          <w:rFonts w:ascii="Times New Roman" w:hAnsi="Times New Roman" w:cs="Times New Roman"/>
          <w:sz w:val="20"/>
          <w:szCs w:val="20"/>
        </w:rPr>
        <w:t xml:space="preserve">In the LTE RACH-less solution, the handover command contains an indication of whether the timing advance in the target is zero (e.g. for small cell scenarios) or is the same as a TAG of the source configuration. </w:t>
      </w:r>
      <w:r w:rsidR="002C16AA">
        <w:rPr>
          <w:rFonts w:ascii="Times New Roman" w:hAnsi="Times New Roman" w:cs="Times New Roman"/>
          <w:sz w:val="20"/>
          <w:szCs w:val="20"/>
        </w:rPr>
        <w:t xml:space="preserve">In the LTM context, such type of RACH-less procedure may simply consist of a cell switch command indicating a TCI state (or </w:t>
      </w:r>
      <w:r w:rsidR="006708FB">
        <w:rPr>
          <w:rFonts w:ascii="Times New Roman" w:hAnsi="Times New Roman" w:cs="Times New Roman"/>
          <w:sz w:val="20"/>
          <w:szCs w:val="20"/>
        </w:rPr>
        <w:t xml:space="preserve">target </w:t>
      </w:r>
      <w:r w:rsidR="002C16AA">
        <w:rPr>
          <w:rFonts w:ascii="Times New Roman" w:hAnsi="Times New Roman" w:cs="Times New Roman"/>
          <w:sz w:val="20"/>
          <w:szCs w:val="20"/>
        </w:rPr>
        <w:t xml:space="preserve">cell) </w:t>
      </w:r>
      <w:r w:rsidR="00EC1DBA">
        <w:rPr>
          <w:rFonts w:ascii="Times New Roman" w:hAnsi="Times New Roman" w:cs="Times New Roman"/>
          <w:sz w:val="20"/>
          <w:szCs w:val="20"/>
        </w:rPr>
        <w:t>and applicable TA. In case the cell switch command does not contain a TA indication, the UE maintains same TA for the TAG associated to the TCI state (or cell) if such TA is valid.</w:t>
      </w:r>
    </w:p>
    <w:p w14:paraId="10468A71" w14:textId="0888AF67" w:rsidR="00EC1DBA" w:rsidRPr="006708FB" w:rsidRDefault="00EC1DBA" w:rsidP="002C16AA">
      <w:pPr>
        <w:spacing w:before="240"/>
        <w:rPr>
          <w:rFonts w:ascii="Times New Roman" w:hAnsi="Times New Roman" w:cs="Times New Roman"/>
          <w:b/>
          <w:bCs/>
          <w:i/>
          <w:iCs/>
          <w:sz w:val="20"/>
          <w:szCs w:val="20"/>
        </w:rPr>
      </w:pPr>
      <w:r w:rsidRPr="006708FB">
        <w:rPr>
          <w:rFonts w:ascii="Times New Roman" w:hAnsi="Times New Roman" w:cs="Times New Roman"/>
          <w:b/>
          <w:bCs/>
          <w:i/>
          <w:iCs/>
          <w:sz w:val="20"/>
          <w:szCs w:val="20"/>
        </w:rPr>
        <w:t xml:space="preserve">Proposal 5: Support explicit indication of TA applicable to TCI state (or </w:t>
      </w:r>
      <w:r w:rsidR="006708FB" w:rsidRPr="006708FB">
        <w:rPr>
          <w:rFonts w:ascii="Times New Roman" w:hAnsi="Times New Roman" w:cs="Times New Roman"/>
          <w:b/>
          <w:bCs/>
          <w:i/>
          <w:iCs/>
          <w:sz w:val="20"/>
          <w:szCs w:val="20"/>
        </w:rPr>
        <w:t xml:space="preserve">target </w:t>
      </w:r>
      <w:r w:rsidRPr="006708FB">
        <w:rPr>
          <w:rFonts w:ascii="Times New Roman" w:hAnsi="Times New Roman" w:cs="Times New Roman"/>
          <w:b/>
          <w:bCs/>
          <w:i/>
          <w:iCs/>
          <w:sz w:val="20"/>
          <w:szCs w:val="20"/>
        </w:rPr>
        <w:t>cell) in cell switch command.</w:t>
      </w:r>
    </w:p>
    <w:p w14:paraId="5D25A766" w14:textId="3F29169B" w:rsidR="00EC1DBA" w:rsidRPr="006708FB" w:rsidRDefault="00EC1DBA" w:rsidP="002C16AA">
      <w:pPr>
        <w:spacing w:before="240"/>
        <w:rPr>
          <w:rFonts w:ascii="Times New Roman" w:hAnsi="Times New Roman" w:cs="Times New Roman"/>
          <w:b/>
          <w:bCs/>
          <w:i/>
          <w:iCs/>
          <w:sz w:val="20"/>
          <w:szCs w:val="20"/>
        </w:rPr>
      </w:pPr>
      <w:r w:rsidRPr="006708FB">
        <w:rPr>
          <w:rFonts w:ascii="Times New Roman" w:hAnsi="Times New Roman" w:cs="Times New Roman"/>
          <w:b/>
          <w:bCs/>
          <w:i/>
          <w:iCs/>
          <w:sz w:val="20"/>
          <w:szCs w:val="20"/>
        </w:rPr>
        <w:t xml:space="preserve">Proposal 6: If UE has valid TA for TCI state (or </w:t>
      </w:r>
      <w:r w:rsidR="006708FB" w:rsidRPr="006708FB">
        <w:rPr>
          <w:rFonts w:ascii="Times New Roman" w:hAnsi="Times New Roman" w:cs="Times New Roman"/>
          <w:b/>
          <w:bCs/>
          <w:i/>
          <w:iCs/>
          <w:sz w:val="20"/>
          <w:szCs w:val="20"/>
        </w:rPr>
        <w:t xml:space="preserve">target </w:t>
      </w:r>
      <w:r w:rsidRPr="006708FB">
        <w:rPr>
          <w:rFonts w:ascii="Times New Roman" w:hAnsi="Times New Roman" w:cs="Times New Roman"/>
          <w:b/>
          <w:bCs/>
          <w:i/>
          <w:iCs/>
          <w:sz w:val="20"/>
          <w:szCs w:val="20"/>
        </w:rPr>
        <w:t>cel</w:t>
      </w:r>
      <w:r w:rsidR="006708FB" w:rsidRPr="006708FB">
        <w:rPr>
          <w:rFonts w:ascii="Times New Roman" w:hAnsi="Times New Roman" w:cs="Times New Roman"/>
          <w:b/>
          <w:bCs/>
          <w:i/>
          <w:iCs/>
          <w:sz w:val="20"/>
          <w:szCs w:val="20"/>
        </w:rPr>
        <w:t>l) indicated in cell switch command and no explicit indication of TA, the UE maintains same TA for that TCI state (or target cell).</w:t>
      </w:r>
    </w:p>
    <w:p w14:paraId="36A5649E" w14:textId="4A04C90E" w:rsidR="008F5032" w:rsidRDefault="006708FB" w:rsidP="0049621A">
      <w:pPr>
        <w:rPr>
          <w:rFonts w:ascii="Times New Roman" w:hAnsi="Times New Roman" w:cs="Times New Roman"/>
          <w:sz w:val="20"/>
          <w:szCs w:val="20"/>
        </w:rPr>
      </w:pPr>
      <w:r>
        <w:rPr>
          <w:rFonts w:ascii="Times New Roman" w:hAnsi="Times New Roman" w:cs="Times New Roman"/>
          <w:sz w:val="20"/>
          <w:szCs w:val="20"/>
        </w:rPr>
        <w:t>UE-based solutions to acquire TA relying on measurement of Rx timing difference can also be considered in addition of the RACH-based and RACH-less mechanisms proposed in the above. However, it is suggested to focus on the basic mechanisms first and consider these potential additional solutions in a later stage.</w:t>
      </w:r>
    </w:p>
    <w:p w14:paraId="4304C40A" w14:textId="41A47A98" w:rsidR="006708FB" w:rsidRPr="00B23AB9" w:rsidRDefault="006708FB" w:rsidP="006708FB">
      <w:pPr>
        <w:pStyle w:val="Heading1"/>
        <w:rPr>
          <w:lang w:val="en-US"/>
        </w:rPr>
      </w:pPr>
      <w:r>
        <w:rPr>
          <w:lang w:val="en-US"/>
        </w:rPr>
        <w:t>Cell switch confirmation</w:t>
      </w:r>
    </w:p>
    <w:p w14:paraId="5592FCBD" w14:textId="64B5E05B" w:rsidR="00244082" w:rsidRDefault="00BE02EE" w:rsidP="0049621A">
      <w:pPr>
        <w:rPr>
          <w:rFonts w:ascii="Times New Roman" w:hAnsi="Times New Roman" w:cs="Times New Roman"/>
          <w:sz w:val="20"/>
          <w:szCs w:val="20"/>
        </w:rPr>
      </w:pPr>
      <w:r>
        <w:rPr>
          <w:rFonts w:ascii="Times New Roman" w:hAnsi="Times New Roman" w:cs="Times New Roman"/>
          <w:sz w:val="20"/>
          <w:szCs w:val="20"/>
        </w:rPr>
        <w:t>F</w:t>
      </w:r>
      <w:r w:rsidR="00DF7C2F">
        <w:rPr>
          <w:rFonts w:ascii="Times New Roman" w:hAnsi="Times New Roman" w:cs="Times New Roman"/>
          <w:sz w:val="20"/>
          <w:szCs w:val="20"/>
        </w:rPr>
        <w:t>ollowing reception of the cell switch command, the UE needs to transmit a confirmation of the execution of the cell switch in the target cell. Such confirmation can be a MAC CE transmitted on an uplink resource of the target cell.</w:t>
      </w:r>
      <w:r w:rsidR="007C2B8A">
        <w:rPr>
          <w:rFonts w:ascii="Times New Roman" w:hAnsi="Times New Roman" w:cs="Times New Roman"/>
          <w:sz w:val="20"/>
          <w:szCs w:val="20"/>
        </w:rPr>
        <w:t xml:space="preserve"> </w:t>
      </w:r>
    </w:p>
    <w:p w14:paraId="05E92F59" w14:textId="5E2EF506" w:rsidR="00DF7C2F" w:rsidRPr="00E74ADD" w:rsidRDefault="00DF7C2F" w:rsidP="00DF7C2F">
      <w:pPr>
        <w:spacing w:before="240"/>
        <w:rPr>
          <w:rFonts w:ascii="Times New Roman" w:hAnsi="Times New Roman" w:cs="Times New Roman"/>
          <w:b/>
          <w:bCs/>
          <w:i/>
          <w:iCs/>
          <w:sz w:val="20"/>
          <w:szCs w:val="20"/>
        </w:rPr>
      </w:pPr>
      <w:r w:rsidRPr="00E74ADD">
        <w:rPr>
          <w:rFonts w:ascii="Times New Roman" w:hAnsi="Times New Roman" w:cs="Times New Roman"/>
          <w:b/>
          <w:bCs/>
          <w:i/>
          <w:iCs/>
          <w:sz w:val="20"/>
          <w:szCs w:val="20"/>
        </w:rPr>
        <w:t xml:space="preserve">Proposal </w:t>
      </w:r>
      <w:r w:rsidR="007C2B8A">
        <w:rPr>
          <w:rFonts w:ascii="Times New Roman" w:hAnsi="Times New Roman" w:cs="Times New Roman"/>
          <w:b/>
          <w:bCs/>
          <w:i/>
          <w:iCs/>
          <w:sz w:val="20"/>
          <w:szCs w:val="20"/>
        </w:rPr>
        <w:t>7</w:t>
      </w:r>
      <w:r w:rsidRPr="00E74ADD">
        <w:rPr>
          <w:rFonts w:ascii="Times New Roman" w:hAnsi="Times New Roman" w:cs="Times New Roman"/>
          <w:b/>
          <w:bCs/>
          <w:i/>
          <w:iCs/>
          <w:sz w:val="20"/>
          <w:szCs w:val="20"/>
        </w:rPr>
        <w:t xml:space="preserve">: </w:t>
      </w:r>
      <w:r>
        <w:rPr>
          <w:rFonts w:ascii="Times New Roman" w:hAnsi="Times New Roman" w:cs="Times New Roman"/>
          <w:b/>
          <w:bCs/>
          <w:i/>
          <w:iCs/>
          <w:sz w:val="20"/>
          <w:szCs w:val="20"/>
        </w:rPr>
        <w:t>Following reception of cell switch command</w:t>
      </w:r>
      <w:r w:rsidRPr="00E74ADD">
        <w:rPr>
          <w:rFonts w:ascii="Times New Roman" w:hAnsi="Times New Roman" w:cs="Times New Roman"/>
          <w:b/>
          <w:bCs/>
          <w:i/>
          <w:iCs/>
          <w:sz w:val="20"/>
          <w:szCs w:val="20"/>
        </w:rPr>
        <w:t xml:space="preserve">, UE transmits </w:t>
      </w:r>
      <w:r>
        <w:rPr>
          <w:rFonts w:ascii="Times New Roman" w:hAnsi="Times New Roman" w:cs="Times New Roman"/>
          <w:b/>
          <w:bCs/>
          <w:i/>
          <w:iCs/>
          <w:sz w:val="20"/>
          <w:szCs w:val="20"/>
        </w:rPr>
        <w:t xml:space="preserve">MAC CE </w:t>
      </w:r>
      <w:r w:rsidRPr="00E74ADD">
        <w:rPr>
          <w:rFonts w:ascii="Times New Roman" w:hAnsi="Times New Roman" w:cs="Times New Roman"/>
          <w:b/>
          <w:bCs/>
          <w:i/>
          <w:iCs/>
          <w:sz w:val="20"/>
          <w:szCs w:val="20"/>
        </w:rPr>
        <w:t xml:space="preserve">on uplink resource </w:t>
      </w:r>
      <w:r>
        <w:rPr>
          <w:rFonts w:ascii="Times New Roman" w:hAnsi="Times New Roman" w:cs="Times New Roman"/>
          <w:b/>
          <w:bCs/>
          <w:i/>
          <w:iCs/>
          <w:sz w:val="20"/>
          <w:szCs w:val="20"/>
        </w:rPr>
        <w:t>of target cell</w:t>
      </w:r>
      <w:r w:rsidR="00BE02EE">
        <w:rPr>
          <w:rFonts w:ascii="Times New Roman" w:hAnsi="Times New Roman" w:cs="Times New Roman"/>
          <w:b/>
          <w:bCs/>
          <w:i/>
          <w:iCs/>
          <w:sz w:val="20"/>
          <w:szCs w:val="20"/>
        </w:rPr>
        <w:t xml:space="preserve"> to confirm execution of the cell switch</w:t>
      </w:r>
      <w:r w:rsidRPr="00E74ADD">
        <w:rPr>
          <w:rFonts w:ascii="Times New Roman" w:hAnsi="Times New Roman" w:cs="Times New Roman"/>
          <w:b/>
          <w:bCs/>
          <w:i/>
          <w:iCs/>
          <w:sz w:val="20"/>
          <w:szCs w:val="20"/>
        </w:rPr>
        <w:t>.</w:t>
      </w:r>
    </w:p>
    <w:p w14:paraId="181DA70D" w14:textId="0D7B5B1A" w:rsidR="00E07F9B" w:rsidRDefault="00E07F9B" w:rsidP="007C2B8A">
      <w:pPr>
        <w:spacing w:before="240"/>
        <w:rPr>
          <w:rFonts w:ascii="Times New Roman" w:hAnsi="Times New Roman" w:cs="Times New Roman"/>
          <w:sz w:val="20"/>
          <w:szCs w:val="20"/>
        </w:rPr>
      </w:pPr>
      <w:r>
        <w:rPr>
          <w:rFonts w:ascii="Times New Roman" w:hAnsi="Times New Roman" w:cs="Times New Roman"/>
          <w:sz w:val="20"/>
          <w:szCs w:val="20"/>
        </w:rPr>
        <w:t>In case the UE performs RACH procedure after reception of cell switch command, the random-access response indicates the uplink resource. Otherwise, the MAC CE containing the cell switch command can indicate one of a set of uplink resources pre-configured by RRC.</w:t>
      </w:r>
    </w:p>
    <w:p w14:paraId="00632606" w14:textId="7BEE20EF" w:rsidR="007C2B8A" w:rsidRPr="00C96B05" w:rsidRDefault="007C2B8A" w:rsidP="007C2B8A">
      <w:pPr>
        <w:spacing w:before="240"/>
        <w:rPr>
          <w:rFonts w:ascii="Times New Roman" w:hAnsi="Times New Roman" w:cs="Times New Roman"/>
          <w:b/>
          <w:bCs/>
          <w:i/>
          <w:iCs/>
          <w:sz w:val="20"/>
          <w:szCs w:val="20"/>
        </w:rPr>
      </w:pPr>
      <w:r w:rsidRPr="00C96B05">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C96B05">
        <w:rPr>
          <w:rFonts w:ascii="Times New Roman" w:hAnsi="Times New Roman" w:cs="Times New Roman"/>
          <w:b/>
          <w:bCs/>
          <w:i/>
          <w:iCs/>
          <w:sz w:val="20"/>
          <w:szCs w:val="20"/>
        </w:rPr>
        <w:t xml:space="preserve">: </w:t>
      </w:r>
      <w:r w:rsidR="00E07F9B">
        <w:rPr>
          <w:rFonts w:ascii="Times New Roman" w:hAnsi="Times New Roman" w:cs="Times New Roman"/>
          <w:b/>
          <w:bCs/>
          <w:i/>
          <w:iCs/>
          <w:sz w:val="20"/>
          <w:szCs w:val="20"/>
        </w:rPr>
        <w:t>MAC CE containing cell switch command can indicate one of a set of uplink resources pre-configured by RRC for the confirmation of execution of the cell switch in target cell.</w:t>
      </w:r>
    </w:p>
    <w:p w14:paraId="123934F8" w14:textId="26F228F9" w:rsidR="00EC1CFD" w:rsidRPr="00674C43" w:rsidRDefault="00522944" w:rsidP="00EC1CFD">
      <w:pPr>
        <w:pStyle w:val="Heading1"/>
      </w:pPr>
      <w:r>
        <w:t>Conclusions</w:t>
      </w:r>
    </w:p>
    <w:p w14:paraId="682E0AFA" w14:textId="4BD9639F" w:rsidR="009843DF" w:rsidRPr="0034330B" w:rsidRDefault="009843DF" w:rsidP="009843DF">
      <w:pPr>
        <w:spacing w:before="240"/>
        <w:jc w:val="both"/>
        <w:rPr>
          <w:rFonts w:ascii="Times New Roman" w:hAnsi="Times New Roman" w:cs="Times New Roman"/>
          <w:sz w:val="20"/>
          <w:szCs w:val="20"/>
        </w:rPr>
      </w:pPr>
      <w:r w:rsidRPr="0034330B">
        <w:rPr>
          <w:rFonts w:ascii="Times New Roman" w:hAnsi="Times New Roman" w:cs="Times New Roman"/>
          <w:sz w:val="20"/>
          <w:szCs w:val="20"/>
        </w:rPr>
        <w:t>This contribution discusse</w:t>
      </w:r>
      <w:r>
        <w:rPr>
          <w:rFonts w:ascii="Times New Roman" w:hAnsi="Times New Roman" w:cs="Times New Roman"/>
          <w:sz w:val="20"/>
          <w:szCs w:val="20"/>
        </w:rPr>
        <w:t>d</w:t>
      </w:r>
      <w:r w:rsidRPr="0034330B">
        <w:rPr>
          <w:rFonts w:ascii="Times New Roman" w:hAnsi="Times New Roman" w:cs="Times New Roman"/>
          <w:sz w:val="20"/>
          <w:szCs w:val="20"/>
        </w:rPr>
        <w:t xml:space="preserve"> </w:t>
      </w:r>
      <w:r>
        <w:rPr>
          <w:rFonts w:ascii="Times New Roman" w:hAnsi="Times New Roman" w:cs="Times New Roman"/>
          <w:sz w:val="20"/>
          <w:szCs w:val="20"/>
        </w:rPr>
        <w:t>timing advance management aspects of L1/2-based mobility</w:t>
      </w:r>
      <w:r w:rsidR="007C2B8A">
        <w:rPr>
          <w:rFonts w:ascii="Times New Roman" w:hAnsi="Times New Roman" w:cs="Times New Roman"/>
          <w:sz w:val="20"/>
          <w:szCs w:val="20"/>
        </w:rPr>
        <w:t xml:space="preserve"> </w:t>
      </w:r>
      <w:r w:rsidR="006D2358">
        <w:rPr>
          <w:rFonts w:ascii="Times New Roman" w:hAnsi="Times New Roman" w:cs="Times New Roman"/>
          <w:sz w:val="20"/>
          <w:szCs w:val="20"/>
        </w:rPr>
        <w:t>and proposed the following:</w:t>
      </w:r>
    </w:p>
    <w:p w14:paraId="0491D7C7" w14:textId="77777777" w:rsidR="007C2B8A" w:rsidRDefault="007C2B8A" w:rsidP="007C2B8A">
      <w:pPr>
        <w:rPr>
          <w:rFonts w:ascii="Times New Roman" w:hAnsi="Times New Roman" w:cs="Times New Roman"/>
          <w:b/>
          <w:bCs/>
          <w:i/>
          <w:iCs/>
          <w:sz w:val="20"/>
          <w:szCs w:val="20"/>
        </w:rPr>
      </w:pPr>
      <w:r w:rsidRPr="00C80264">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80264">
        <w:rPr>
          <w:rFonts w:ascii="Times New Roman" w:hAnsi="Times New Roman" w:cs="Times New Roman"/>
          <w:b/>
          <w:bCs/>
          <w:i/>
          <w:iCs/>
          <w:sz w:val="20"/>
          <w:szCs w:val="20"/>
        </w:rPr>
        <w:t>: Support association of TA/TAG to a TCI state.</w:t>
      </w:r>
    </w:p>
    <w:p w14:paraId="7501D273" w14:textId="77777777" w:rsidR="007C2B8A" w:rsidRPr="003D3C75" w:rsidRDefault="007C2B8A" w:rsidP="007C2B8A">
      <w:pPr>
        <w:rPr>
          <w:rFonts w:ascii="Times New Roman" w:hAnsi="Times New Roman" w:cs="Times New Roman"/>
          <w:b/>
          <w:bCs/>
          <w:i/>
          <w:iCs/>
          <w:sz w:val="20"/>
          <w:szCs w:val="20"/>
        </w:rPr>
      </w:pPr>
      <w:r w:rsidRPr="003D3C75">
        <w:rPr>
          <w:rFonts w:ascii="Times New Roman" w:hAnsi="Times New Roman" w:cs="Times New Roman"/>
          <w:b/>
          <w:bCs/>
          <w:i/>
          <w:iCs/>
          <w:sz w:val="20"/>
          <w:szCs w:val="20"/>
        </w:rPr>
        <w:t>Proposal 2: Support RACH-based acquisition of TA of candidate cells.</w:t>
      </w:r>
    </w:p>
    <w:p w14:paraId="567BDF19" w14:textId="77777777" w:rsidR="007C2B8A" w:rsidRPr="00237E36" w:rsidRDefault="007C2B8A" w:rsidP="007C2B8A">
      <w:pPr>
        <w:rPr>
          <w:rFonts w:ascii="Times New Roman" w:hAnsi="Times New Roman" w:cs="Times New Roman"/>
          <w:b/>
          <w:bCs/>
          <w:i/>
          <w:iCs/>
          <w:sz w:val="20"/>
          <w:szCs w:val="20"/>
        </w:rPr>
      </w:pPr>
      <w:r w:rsidRPr="00237E36">
        <w:rPr>
          <w:rFonts w:ascii="Times New Roman" w:hAnsi="Times New Roman" w:cs="Times New Roman"/>
          <w:b/>
          <w:bCs/>
          <w:i/>
          <w:iCs/>
          <w:sz w:val="20"/>
          <w:szCs w:val="20"/>
        </w:rPr>
        <w:t xml:space="preserve">Proposal 3: Support PDCCH-ordered RACH </w:t>
      </w:r>
      <w:r>
        <w:rPr>
          <w:rFonts w:ascii="Times New Roman" w:hAnsi="Times New Roman" w:cs="Times New Roman"/>
          <w:b/>
          <w:bCs/>
          <w:i/>
          <w:iCs/>
          <w:sz w:val="20"/>
          <w:szCs w:val="20"/>
        </w:rPr>
        <w:t>procedure</w:t>
      </w:r>
      <w:r w:rsidRPr="00237E36">
        <w:rPr>
          <w:rFonts w:ascii="Times New Roman" w:hAnsi="Times New Roman" w:cs="Times New Roman"/>
          <w:b/>
          <w:bCs/>
          <w:i/>
          <w:iCs/>
          <w:sz w:val="20"/>
          <w:szCs w:val="20"/>
        </w:rPr>
        <w:t xml:space="preserve"> for acquisition of TA of candidate cells before cell switch.</w:t>
      </w:r>
    </w:p>
    <w:p w14:paraId="35DAD576" w14:textId="77777777" w:rsidR="007C2B8A" w:rsidRPr="00244082" w:rsidRDefault="007C2B8A" w:rsidP="007C2B8A">
      <w:pPr>
        <w:rPr>
          <w:rFonts w:ascii="Times New Roman" w:hAnsi="Times New Roman" w:cs="Times New Roman"/>
          <w:b/>
          <w:bCs/>
          <w:i/>
          <w:iCs/>
          <w:sz w:val="20"/>
          <w:szCs w:val="20"/>
        </w:rPr>
      </w:pPr>
      <w:r w:rsidRPr="00244082">
        <w:rPr>
          <w:rFonts w:ascii="Times New Roman" w:hAnsi="Times New Roman" w:cs="Times New Roman"/>
          <w:b/>
          <w:bCs/>
          <w:i/>
          <w:iCs/>
          <w:sz w:val="20"/>
          <w:szCs w:val="20"/>
        </w:rPr>
        <w:t>Proposal 4: Support at least one of the following triggers of RACH procedure for acquisition of TA of candidate cell after reception of cell switch command:</w:t>
      </w:r>
    </w:p>
    <w:p w14:paraId="273BD4A7" w14:textId="2C667878" w:rsidR="007C2B8A" w:rsidRPr="00244082" w:rsidRDefault="007C2B8A" w:rsidP="007C2B8A">
      <w:pPr>
        <w:pStyle w:val="ListParagraph"/>
        <w:numPr>
          <w:ilvl w:val="0"/>
          <w:numId w:val="20"/>
        </w:numPr>
        <w:rPr>
          <w:rFonts w:ascii="Times New Roman" w:hAnsi="Times New Roman" w:cs="Times New Roman"/>
          <w:b/>
          <w:bCs/>
          <w:i/>
          <w:iCs/>
          <w:sz w:val="20"/>
          <w:szCs w:val="20"/>
        </w:rPr>
      </w:pPr>
      <w:r w:rsidRPr="00244082">
        <w:rPr>
          <w:rFonts w:ascii="Times New Roman" w:hAnsi="Times New Roman" w:cs="Times New Roman"/>
          <w:b/>
          <w:bCs/>
          <w:i/>
          <w:iCs/>
          <w:sz w:val="20"/>
          <w:szCs w:val="20"/>
        </w:rPr>
        <w:t>Explicit indication in cell switch command;</w:t>
      </w:r>
    </w:p>
    <w:p w14:paraId="3D59DAC4" w14:textId="2BE9E6EF" w:rsidR="007C2B8A" w:rsidRPr="00244082" w:rsidRDefault="007C2B8A" w:rsidP="007C2B8A">
      <w:pPr>
        <w:pStyle w:val="ListParagraph"/>
        <w:numPr>
          <w:ilvl w:val="0"/>
          <w:numId w:val="20"/>
        </w:numPr>
        <w:rPr>
          <w:rFonts w:ascii="Times New Roman" w:hAnsi="Times New Roman" w:cs="Times New Roman"/>
          <w:b/>
          <w:bCs/>
          <w:i/>
          <w:iCs/>
          <w:sz w:val="20"/>
          <w:szCs w:val="20"/>
        </w:rPr>
      </w:pPr>
      <w:r w:rsidRPr="00244082">
        <w:rPr>
          <w:rFonts w:ascii="Times New Roman" w:hAnsi="Times New Roman" w:cs="Times New Roman"/>
          <w:b/>
          <w:bCs/>
          <w:i/>
          <w:iCs/>
          <w:sz w:val="20"/>
          <w:szCs w:val="20"/>
        </w:rPr>
        <w:t>No valid TA for TAG associated to target cell or TCI state.</w:t>
      </w:r>
    </w:p>
    <w:p w14:paraId="4DFD3E26" w14:textId="77777777" w:rsidR="007C2B8A" w:rsidRPr="007C2B8A" w:rsidRDefault="007C2B8A" w:rsidP="007C2B8A">
      <w:pPr>
        <w:spacing w:before="240"/>
        <w:rPr>
          <w:rFonts w:ascii="Times New Roman" w:hAnsi="Times New Roman" w:cs="Times New Roman"/>
          <w:b/>
          <w:bCs/>
          <w:i/>
          <w:iCs/>
          <w:sz w:val="20"/>
          <w:szCs w:val="20"/>
        </w:rPr>
      </w:pPr>
      <w:r w:rsidRPr="007C2B8A">
        <w:rPr>
          <w:rFonts w:ascii="Times New Roman" w:hAnsi="Times New Roman" w:cs="Times New Roman"/>
          <w:b/>
          <w:bCs/>
          <w:i/>
          <w:iCs/>
          <w:sz w:val="20"/>
          <w:szCs w:val="20"/>
        </w:rPr>
        <w:lastRenderedPageBreak/>
        <w:t>Proposal 5: Support explicit indication of TA applicable to TCI state (or target cell) in cell switch command.</w:t>
      </w:r>
    </w:p>
    <w:p w14:paraId="1DAE9AE6" w14:textId="77777777" w:rsidR="007C2B8A" w:rsidRPr="006708FB" w:rsidRDefault="007C2B8A" w:rsidP="007C2B8A">
      <w:pPr>
        <w:spacing w:before="240"/>
        <w:rPr>
          <w:rFonts w:ascii="Times New Roman" w:hAnsi="Times New Roman" w:cs="Times New Roman"/>
          <w:b/>
          <w:bCs/>
          <w:i/>
          <w:iCs/>
          <w:sz w:val="20"/>
          <w:szCs w:val="20"/>
        </w:rPr>
      </w:pPr>
      <w:r w:rsidRPr="006708FB">
        <w:rPr>
          <w:rFonts w:ascii="Times New Roman" w:hAnsi="Times New Roman" w:cs="Times New Roman"/>
          <w:b/>
          <w:bCs/>
          <w:i/>
          <w:iCs/>
          <w:sz w:val="20"/>
          <w:szCs w:val="20"/>
        </w:rPr>
        <w:t>Proposal 6: If UE has valid TA for TCI state (or target cell) indicated in cell switch command and no explicit indication of TA, the UE maintains same TA for that TCI state (or target cell).</w:t>
      </w:r>
    </w:p>
    <w:p w14:paraId="3F11EAE0" w14:textId="77777777" w:rsidR="0000620C" w:rsidRPr="00E74ADD" w:rsidRDefault="0000620C" w:rsidP="0000620C">
      <w:pPr>
        <w:spacing w:before="240"/>
        <w:rPr>
          <w:rFonts w:ascii="Times New Roman" w:hAnsi="Times New Roman" w:cs="Times New Roman"/>
          <w:b/>
          <w:bCs/>
          <w:i/>
          <w:iCs/>
          <w:sz w:val="20"/>
          <w:szCs w:val="20"/>
        </w:rPr>
      </w:pPr>
      <w:r w:rsidRPr="00E74ADD">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E74ADD">
        <w:rPr>
          <w:rFonts w:ascii="Times New Roman" w:hAnsi="Times New Roman" w:cs="Times New Roman"/>
          <w:b/>
          <w:bCs/>
          <w:i/>
          <w:iCs/>
          <w:sz w:val="20"/>
          <w:szCs w:val="20"/>
        </w:rPr>
        <w:t xml:space="preserve">: </w:t>
      </w:r>
      <w:r>
        <w:rPr>
          <w:rFonts w:ascii="Times New Roman" w:hAnsi="Times New Roman" w:cs="Times New Roman"/>
          <w:b/>
          <w:bCs/>
          <w:i/>
          <w:iCs/>
          <w:sz w:val="20"/>
          <w:szCs w:val="20"/>
        </w:rPr>
        <w:t>Following reception of cell switch command</w:t>
      </w:r>
      <w:r w:rsidRPr="00E74ADD">
        <w:rPr>
          <w:rFonts w:ascii="Times New Roman" w:hAnsi="Times New Roman" w:cs="Times New Roman"/>
          <w:b/>
          <w:bCs/>
          <w:i/>
          <w:iCs/>
          <w:sz w:val="20"/>
          <w:szCs w:val="20"/>
        </w:rPr>
        <w:t xml:space="preserve">, UE transmits </w:t>
      </w:r>
      <w:r>
        <w:rPr>
          <w:rFonts w:ascii="Times New Roman" w:hAnsi="Times New Roman" w:cs="Times New Roman"/>
          <w:b/>
          <w:bCs/>
          <w:i/>
          <w:iCs/>
          <w:sz w:val="20"/>
          <w:szCs w:val="20"/>
        </w:rPr>
        <w:t xml:space="preserve">MAC CE </w:t>
      </w:r>
      <w:r w:rsidRPr="00E74ADD">
        <w:rPr>
          <w:rFonts w:ascii="Times New Roman" w:hAnsi="Times New Roman" w:cs="Times New Roman"/>
          <w:b/>
          <w:bCs/>
          <w:i/>
          <w:iCs/>
          <w:sz w:val="20"/>
          <w:szCs w:val="20"/>
        </w:rPr>
        <w:t xml:space="preserve">on uplink resource </w:t>
      </w:r>
      <w:r>
        <w:rPr>
          <w:rFonts w:ascii="Times New Roman" w:hAnsi="Times New Roman" w:cs="Times New Roman"/>
          <w:b/>
          <w:bCs/>
          <w:i/>
          <w:iCs/>
          <w:sz w:val="20"/>
          <w:szCs w:val="20"/>
        </w:rPr>
        <w:t>of target cell to confirm execution of the cell switch</w:t>
      </w:r>
      <w:r w:rsidRPr="00E74ADD">
        <w:rPr>
          <w:rFonts w:ascii="Times New Roman" w:hAnsi="Times New Roman" w:cs="Times New Roman"/>
          <w:b/>
          <w:bCs/>
          <w:i/>
          <w:iCs/>
          <w:sz w:val="20"/>
          <w:szCs w:val="20"/>
        </w:rPr>
        <w:t>.</w:t>
      </w:r>
    </w:p>
    <w:p w14:paraId="30E94836" w14:textId="77777777" w:rsidR="0000620C" w:rsidRPr="00C96B05" w:rsidRDefault="0000620C" w:rsidP="0000620C">
      <w:pPr>
        <w:spacing w:before="240"/>
        <w:rPr>
          <w:rFonts w:ascii="Times New Roman" w:hAnsi="Times New Roman" w:cs="Times New Roman"/>
          <w:b/>
          <w:bCs/>
          <w:i/>
          <w:iCs/>
          <w:sz w:val="20"/>
          <w:szCs w:val="20"/>
        </w:rPr>
      </w:pPr>
      <w:r w:rsidRPr="00C96B05">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C96B05">
        <w:rPr>
          <w:rFonts w:ascii="Times New Roman" w:hAnsi="Times New Roman" w:cs="Times New Roman"/>
          <w:b/>
          <w:bCs/>
          <w:i/>
          <w:iCs/>
          <w:sz w:val="20"/>
          <w:szCs w:val="20"/>
        </w:rPr>
        <w:t xml:space="preserve">: </w:t>
      </w:r>
      <w:r>
        <w:rPr>
          <w:rFonts w:ascii="Times New Roman" w:hAnsi="Times New Roman" w:cs="Times New Roman"/>
          <w:b/>
          <w:bCs/>
          <w:i/>
          <w:iCs/>
          <w:sz w:val="20"/>
          <w:szCs w:val="20"/>
        </w:rPr>
        <w:t>MAC CE containing cell switch command can indicate one of a set of uplink resources pre-configured by RRC for the confirmation of execution of the cell switch in target cell.</w:t>
      </w:r>
    </w:p>
    <w:p w14:paraId="04DC7746" w14:textId="7DE04B78" w:rsidR="00B247A4" w:rsidRPr="00265983" w:rsidRDefault="00B247A4" w:rsidP="00B247A4">
      <w:pPr>
        <w:pStyle w:val="Heading1"/>
      </w:pPr>
      <w:r w:rsidRPr="00265983">
        <w:t>Refe</w:t>
      </w:r>
      <w:r w:rsidR="00E4647B" w:rsidRPr="00265983">
        <w:t>rences</w:t>
      </w:r>
    </w:p>
    <w:p w14:paraId="2644DA8D" w14:textId="75309DD5" w:rsidR="00100768" w:rsidRPr="00CF309C"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CF309C">
        <w:rPr>
          <w:rFonts w:ascii="Times New Roman" w:hAnsi="Times New Roman"/>
          <w:sz w:val="20"/>
          <w:szCs w:val="20"/>
        </w:rPr>
        <w:t>RP-</w:t>
      </w:r>
      <w:bookmarkEnd w:id="1"/>
      <w:r w:rsidRPr="00CF309C">
        <w:rPr>
          <w:rFonts w:ascii="Times New Roman" w:hAnsi="Times New Roman"/>
          <w:sz w:val="20"/>
          <w:szCs w:val="20"/>
        </w:rPr>
        <w:t>22</w:t>
      </w:r>
      <w:r w:rsidR="004F21D7" w:rsidRPr="00CF309C">
        <w:rPr>
          <w:rFonts w:ascii="Times New Roman" w:hAnsi="Times New Roman"/>
          <w:sz w:val="20"/>
          <w:szCs w:val="20"/>
        </w:rPr>
        <w:t>2332</w:t>
      </w:r>
      <w:r w:rsidRPr="00CF309C">
        <w:rPr>
          <w:rFonts w:ascii="Times New Roman" w:hAnsi="Times New Roman"/>
          <w:sz w:val="20"/>
          <w:szCs w:val="20"/>
        </w:rPr>
        <w:t>, “</w:t>
      </w:r>
      <w:r w:rsidR="004F21D7" w:rsidRPr="00CF309C">
        <w:rPr>
          <w:rFonts w:ascii="Times New Roman" w:hAnsi="Times New Roman"/>
          <w:sz w:val="20"/>
          <w:szCs w:val="20"/>
        </w:rPr>
        <w:t>Revised WID on Further NR mobility enhancements</w:t>
      </w:r>
      <w:r w:rsidRPr="00CF309C">
        <w:rPr>
          <w:rFonts w:ascii="Times New Roman" w:hAnsi="Times New Roman"/>
          <w:sz w:val="20"/>
          <w:szCs w:val="20"/>
        </w:rPr>
        <w:t xml:space="preserve">”, </w:t>
      </w:r>
      <w:bookmarkEnd w:id="2"/>
      <w:proofErr w:type="spellStart"/>
      <w:r w:rsidR="004F21D7" w:rsidRPr="00CF309C">
        <w:rPr>
          <w:rFonts w:ascii="Times New Roman" w:hAnsi="Times New Roman"/>
          <w:sz w:val="20"/>
          <w:szCs w:val="20"/>
        </w:rPr>
        <w:t>Mediatek</w:t>
      </w:r>
      <w:proofErr w:type="spellEnd"/>
      <w:r w:rsidRPr="00CF309C">
        <w:rPr>
          <w:rFonts w:ascii="Times New Roman" w:hAnsi="Times New Roman"/>
          <w:sz w:val="20"/>
          <w:szCs w:val="20"/>
        </w:rPr>
        <w:t>.</w:t>
      </w:r>
      <w:bookmarkEnd w:id="3"/>
    </w:p>
    <w:p w14:paraId="57F6B084" w14:textId="77777777" w:rsidR="00EC730C" w:rsidRPr="00323352" w:rsidRDefault="00EC730C" w:rsidP="00EC730C">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R1-2210810, “LS on RAN2 agreements about L1/L2-triggered mobility (LTM)”, RAN2.</w:t>
      </w:r>
    </w:p>
    <w:p w14:paraId="1EE52630" w14:textId="77777777" w:rsidR="00EC730C" w:rsidRPr="00CF309C" w:rsidRDefault="00EC730C" w:rsidP="007C2B8A">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cs="Times New Roman"/>
          <w:sz w:val="20"/>
          <w:szCs w:val="20"/>
        </w:rPr>
      </w:pPr>
    </w:p>
    <w:p w14:paraId="59C514E1" w14:textId="378D1D2B" w:rsidR="001920BB" w:rsidRPr="00CF309C" w:rsidRDefault="001920BB" w:rsidP="00B40B6B">
      <w:pPr>
        <w:pStyle w:val="Reference"/>
        <w:numPr>
          <w:ilvl w:val="0"/>
          <w:numId w:val="0"/>
        </w:numPr>
        <w:ind w:left="567"/>
        <w:rPr>
          <w:rFonts w:ascii="Times New Roman" w:hAnsi="Times New Roman" w:cs="Times New Roman"/>
          <w:sz w:val="20"/>
          <w:szCs w:val="20"/>
        </w:rPr>
      </w:pPr>
    </w:p>
    <w:sectPr w:rsidR="001920BB" w:rsidRPr="00CF30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88D2" w14:textId="77777777" w:rsidR="002316E5" w:rsidRDefault="002316E5" w:rsidP="005854C7">
      <w:pPr>
        <w:spacing w:after="0" w:line="240" w:lineRule="auto"/>
      </w:pPr>
      <w:r>
        <w:separator/>
      </w:r>
    </w:p>
  </w:endnote>
  <w:endnote w:type="continuationSeparator" w:id="0">
    <w:p w14:paraId="1A91D1EE" w14:textId="77777777" w:rsidR="002316E5" w:rsidRDefault="002316E5"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51136" w14:textId="77777777" w:rsidR="002316E5" w:rsidRDefault="002316E5" w:rsidP="005854C7">
      <w:pPr>
        <w:spacing w:after="0" w:line="240" w:lineRule="auto"/>
      </w:pPr>
      <w:r>
        <w:separator/>
      </w:r>
    </w:p>
  </w:footnote>
  <w:footnote w:type="continuationSeparator" w:id="0">
    <w:p w14:paraId="34E352BF" w14:textId="77777777" w:rsidR="002316E5" w:rsidRDefault="002316E5"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7B2885"/>
    <w:multiLevelType w:val="hybridMultilevel"/>
    <w:tmpl w:val="A59A9BB4"/>
    <w:lvl w:ilvl="0" w:tplc="656A0D3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302C34F0"/>
    <w:multiLevelType w:val="hybridMultilevel"/>
    <w:tmpl w:val="4FD05600"/>
    <w:lvl w:ilvl="0" w:tplc="42620DC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2914943">
    <w:abstractNumId w:val="0"/>
  </w:num>
  <w:num w:numId="2" w16cid:durableId="1600940535">
    <w:abstractNumId w:val="15"/>
  </w:num>
  <w:num w:numId="3" w16cid:durableId="1844780636">
    <w:abstractNumId w:val="10"/>
  </w:num>
  <w:num w:numId="4" w16cid:durableId="1874809944">
    <w:abstractNumId w:val="16"/>
  </w:num>
  <w:num w:numId="5" w16cid:durableId="422917261">
    <w:abstractNumId w:val="14"/>
  </w:num>
  <w:num w:numId="6" w16cid:durableId="886377851">
    <w:abstractNumId w:val="4"/>
  </w:num>
  <w:num w:numId="7" w16cid:durableId="867260724">
    <w:abstractNumId w:val="3"/>
  </w:num>
  <w:num w:numId="8" w16cid:durableId="2022966873">
    <w:abstractNumId w:val="6"/>
  </w:num>
  <w:num w:numId="9" w16cid:durableId="1886287635">
    <w:abstractNumId w:val="8"/>
  </w:num>
  <w:num w:numId="10" w16cid:durableId="1358003460">
    <w:abstractNumId w:val="9"/>
  </w:num>
  <w:num w:numId="11" w16cid:durableId="347290869">
    <w:abstractNumId w:val="2"/>
  </w:num>
  <w:num w:numId="12" w16cid:durableId="480929308">
    <w:abstractNumId w:val="13"/>
  </w:num>
  <w:num w:numId="13" w16cid:durableId="989941183">
    <w:abstractNumId w:val="17"/>
  </w:num>
  <w:num w:numId="14" w16cid:durableId="1282570439">
    <w:abstractNumId w:val="5"/>
  </w:num>
  <w:num w:numId="15" w16cid:durableId="338894162">
    <w:abstractNumId w:val="1"/>
  </w:num>
  <w:num w:numId="16" w16cid:durableId="1018505940">
    <w:abstractNumId w:val="19"/>
  </w:num>
  <w:num w:numId="17" w16cid:durableId="1365860716">
    <w:abstractNumId w:val="11"/>
  </w:num>
  <w:num w:numId="18" w16cid:durableId="1198548616">
    <w:abstractNumId w:val="12"/>
  </w:num>
  <w:num w:numId="19" w16cid:durableId="710542927">
    <w:abstractNumId w:val="18"/>
  </w:num>
  <w:num w:numId="20" w16cid:durableId="85461470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4E31"/>
    <w:rsid w:val="00005060"/>
    <w:rsid w:val="000054A5"/>
    <w:rsid w:val="00005957"/>
    <w:rsid w:val="00005C83"/>
    <w:rsid w:val="00005CCA"/>
    <w:rsid w:val="0000620C"/>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665"/>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67BB"/>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B7ABF"/>
    <w:rsid w:val="000C24F4"/>
    <w:rsid w:val="000C374E"/>
    <w:rsid w:val="000C407F"/>
    <w:rsid w:val="000C51C7"/>
    <w:rsid w:val="000C636A"/>
    <w:rsid w:val="000C64E7"/>
    <w:rsid w:val="000C7155"/>
    <w:rsid w:val="000C732F"/>
    <w:rsid w:val="000D15FB"/>
    <w:rsid w:val="000D1C48"/>
    <w:rsid w:val="000D1FCA"/>
    <w:rsid w:val="000D254D"/>
    <w:rsid w:val="000D417C"/>
    <w:rsid w:val="000D4221"/>
    <w:rsid w:val="000D5EFB"/>
    <w:rsid w:val="000D63B4"/>
    <w:rsid w:val="000D66D1"/>
    <w:rsid w:val="000D7CD4"/>
    <w:rsid w:val="000E181E"/>
    <w:rsid w:val="000E1ACC"/>
    <w:rsid w:val="000E1FD4"/>
    <w:rsid w:val="000E2E4E"/>
    <w:rsid w:val="000E330A"/>
    <w:rsid w:val="000E51A0"/>
    <w:rsid w:val="000E76B6"/>
    <w:rsid w:val="000F04A7"/>
    <w:rsid w:val="000F2744"/>
    <w:rsid w:val="000F7127"/>
    <w:rsid w:val="000F72B9"/>
    <w:rsid w:val="000F779E"/>
    <w:rsid w:val="00100768"/>
    <w:rsid w:val="00101732"/>
    <w:rsid w:val="0010219A"/>
    <w:rsid w:val="00102AE9"/>
    <w:rsid w:val="00103187"/>
    <w:rsid w:val="001068DF"/>
    <w:rsid w:val="00107379"/>
    <w:rsid w:val="001074E8"/>
    <w:rsid w:val="00110E8A"/>
    <w:rsid w:val="00111375"/>
    <w:rsid w:val="00112CC3"/>
    <w:rsid w:val="00114F04"/>
    <w:rsid w:val="00115480"/>
    <w:rsid w:val="0011779F"/>
    <w:rsid w:val="00117D2D"/>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4E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65A0"/>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8A0"/>
    <w:rsid w:val="00202FDE"/>
    <w:rsid w:val="0020487D"/>
    <w:rsid w:val="00205C87"/>
    <w:rsid w:val="00207242"/>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6E5"/>
    <w:rsid w:val="00231AC3"/>
    <w:rsid w:val="002335DE"/>
    <w:rsid w:val="002339C5"/>
    <w:rsid w:val="00233B70"/>
    <w:rsid w:val="00233BA7"/>
    <w:rsid w:val="0023425D"/>
    <w:rsid w:val="00234E9B"/>
    <w:rsid w:val="00235425"/>
    <w:rsid w:val="0023651E"/>
    <w:rsid w:val="00237E36"/>
    <w:rsid w:val="00241947"/>
    <w:rsid w:val="00242D20"/>
    <w:rsid w:val="00243C77"/>
    <w:rsid w:val="00244082"/>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9B4"/>
    <w:rsid w:val="002A5A40"/>
    <w:rsid w:val="002A5BB1"/>
    <w:rsid w:val="002A7FF7"/>
    <w:rsid w:val="002B0AC8"/>
    <w:rsid w:val="002B1322"/>
    <w:rsid w:val="002B3012"/>
    <w:rsid w:val="002B4E2A"/>
    <w:rsid w:val="002B5ECA"/>
    <w:rsid w:val="002B6892"/>
    <w:rsid w:val="002B74C5"/>
    <w:rsid w:val="002C0120"/>
    <w:rsid w:val="002C16AA"/>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BC4"/>
    <w:rsid w:val="002F0503"/>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A18"/>
    <w:rsid w:val="00304B56"/>
    <w:rsid w:val="00304D15"/>
    <w:rsid w:val="003054D4"/>
    <w:rsid w:val="003056A2"/>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4618"/>
    <w:rsid w:val="00325D82"/>
    <w:rsid w:val="00326ACC"/>
    <w:rsid w:val="00327467"/>
    <w:rsid w:val="00333720"/>
    <w:rsid w:val="00333BE4"/>
    <w:rsid w:val="003346F0"/>
    <w:rsid w:val="00335E4D"/>
    <w:rsid w:val="00336C06"/>
    <w:rsid w:val="00340D1D"/>
    <w:rsid w:val="00342EA7"/>
    <w:rsid w:val="0034330B"/>
    <w:rsid w:val="00343572"/>
    <w:rsid w:val="00343573"/>
    <w:rsid w:val="00343950"/>
    <w:rsid w:val="00343A23"/>
    <w:rsid w:val="00343E40"/>
    <w:rsid w:val="00344701"/>
    <w:rsid w:val="003454BB"/>
    <w:rsid w:val="003454D4"/>
    <w:rsid w:val="003521B4"/>
    <w:rsid w:val="00353248"/>
    <w:rsid w:val="0035383D"/>
    <w:rsid w:val="00354470"/>
    <w:rsid w:val="003556F0"/>
    <w:rsid w:val="00355FB3"/>
    <w:rsid w:val="003605F6"/>
    <w:rsid w:val="00361572"/>
    <w:rsid w:val="003629D7"/>
    <w:rsid w:val="00364B47"/>
    <w:rsid w:val="00364DB0"/>
    <w:rsid w:val="00365DF8"/>
    <w:rsid w:val="00367B6E"/>
    <w:rsid w:val="00367C9F"/>
    <w:rsid w:val="003710A6"/>
    <w:rsid w:val="0037351D"/>
    <w:rsid w:val="00374F03"/>
    <w:rsid w:val="003768E8"/>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4260"/>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7926"/>
    <w:rsid w:val="003A7E44"/>
    <w:rsid w:val="003B228E"/>
    <w:rsid w:val="003B3F2B"/>
    <w:rsid w:val="003B445D"/>
    <w:rsid w:val="003B4F3C"/>
    <w:rsid w:val="003B58FB"/>
    <w:rsid w:val="003B5969"/>
    <w:rsid w:val="003B60A0"/>
    <w:rsid w:val="003B6E8E"/>
    <w:rsid w:val="003B6EA8"/>
    <w:rsid w:val="003C378B"/>
    <w:rsid w:val="003C43F6"/>
    <w:rsid w:val="003C581A"/>
    <w:rsid w:val="003C753A"/>
    <w:rsid w:val="003C77A7"/>
    <w:rsid w:val="003D04A2"/>
    <w:rsid w:val="003D06D6"/>
    <w:rsid w:val="003D138F"/>
    <w:rsid w:val="003D1F7E"/>
    <w:rsid w:val="003D229B"/>
    <w:rsid w:val="003D2669"/>
    <w:rsid w:val="003D32BE"/>
    <w:rsid w:val="003D3501"/>
    <w:rsid w:val="003D3C75"/>
    <w:rsid w:val="003D42A3"/>
    <w:rsid w:val="003D735E"/>
    <w:rsid w:val="003E28BD"/>
    <w:rsid w:val="003E3412"/>
    <w:rsid w:val="003E3431"/>
    <w:rsid w:val="003E36C7"/>
    <w:rsid w:val="003E435B"/>
    <w:rsid w:val="003E6140"/>
    <w:rsid w:val="003E7C13"/>
    <w:rsid w:val="003E7E2A"/>
    <w:rsid w:val="003F1518"/>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4D24"/>
    <w:rsid w:val="00435696"/>
    <w:rsid w:val="00435A9B"/>
    <w:rsid w:val="004361B3"/>
    <w:rsid w:val="00437CF2"/>
    <w:rsid w:val="00437E52"/>
    <w:rsid w:val="00441A5D"/>
    <w:rsid w:val="00441E76"/>
    <w:rsid w:val="004422E1"/>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121E"/>
    <w:rsid w:val="00462210"/>
    <w:rsid w:val="00462577"/>
    <w:rsid w:val="004629F3"/>
    <w:rsid w:val="00463079"/>
    <w:rsid w:val="004635C4"/>
    <w:rsid w:val="0046393F"/>
    <w:rsid w:val="00463A0D"/>
    <w:rsid w:val="00465C4E"/>
    <w:rsid w:val="00466A44"/>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156A"/>
    <w:rsid w:val="004A2662"/>
    <w:rsid w:val="004A2A07"/>
    <w:rsid w:val="004A2C70"/>
    <w:rsid w:val="004A368A"/>
    <w:rsid w:val="004A4268"/>
    <w:rsid w:val="004A5953"/>
    <w:rsid w:val="004A5C01"/>
    <w:rsid w:val="004A6A1F"/>
    <w:rsid w:val="004A7004"/>
    <w:rsid w:val="004A7A22"/>
    <w:rsid w:val="004B0685"/>
    <w:rsid w:val="004B1BFE"/>
    <w:rsid w:val="004B3431"/>
    <w:rsid w:val="004B512E"/>
    <w:rsid w:val="004B6CCA"/>
    <w:rsid w:val="004C0D3B"/>
    <w:rsid w:val="004C1492"/>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5DB7"/>
    <w:rsid w:val="004D6147"/>
    <w:rsid w:val="004D7056"/>
    <w:rsid w:val="004E251D"/>
    <w:rsid w:val="004E7DAA"/>
    <w:rsid w:val="004F1720"/>
    <w:rsid w:val="004F21D7"/>
    <w:rsid w:val="004F2C2B"/>
    <w:rsid w:val="004F4BB2"/>
    <w:rsid w:val="004F79F7"/>
    <w:rsid w:val="00500317"/>
    <w:rsid w:val="00500B57"/>
    <w:rsid w:val="0050159E"/>
    <w:rsid w:val="00503623"/>
    <w:rsid w:val="00504040"/>
    <w:rsid w:val="005056A5"/>
    <w:rsid w:val="0050745E"/>
    <w:rsid w:val="00510613"/>
    <w:rsid w:val="005114AB"/>
    <w:rsid w:val="005118C5"/>
    <w:rsid w:val="005126E2"/>
    <w:rsid w:val="00512F89"/>
    <w:rsid w:val="00513973"/>
    <w:rsid w:val="005160E9"/>
    <w:rsid w:val="00520A89"/>
    <w:rsid w:val="0052140E"/>
    <w:rsid w:val="00521B22"/>
    <w:rsid w:val="005222C0"/>
    <w:rsid w:val="00522944"/>
    <w:rsid w:val="00523685"/>
    <w:rsid w:val="00523992"/>
    <w:rsid w:val="00523C58"/>
    <w:rsid w:val="00523E98"/>
    <w:rsid w:val="00525F8F"/>
    <w:rsid w:val="005274CE"/>
    <w:rsid w:val="005313F0"/>
    <w:rsid w:val="0053153D"/>
    <w:rsid w:val="00531DCC"/>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15A9"/>
    <w:rsid w:val="0055218B"/>
    <w:rsid w:val="005526BC"/>
    <w:rsid w:val="00552704"/>
    <w:rsid w:val="005536E2"/>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70F3B"/>
    <w:rsid w:val="00571201"/>
    <w:rsid w:val="00575E19"/>
    <w:rsid w:val="005761F1"/>
    <w:rsid w:val="00577931"/>
    <w:rsid w:val="00581E2F"/>
    <w:rsid w:val="005838A7"/>
    <w:rsid w:val="00584996"/>
    <w:rsid w:val="005851FE"/>
    <w:rsid w:val="0058535C"/>
    <w:rsid w:val="005854C7"/>
    <w:rsid w:val="00585726"/>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5589"/>
    <w:rsid w:val="006175A6"/>
    <w:rsid w:val="006209DA"/>
    <w:rsid w:val="006228FB"/>
    <w:rsid w:val="0062482B"/>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525B"/>
    <w:rsid w:val="0064561F"/>
    <w:rsid w:val="00645724"/>
    <w:rsid w:val="0064666B"/>
    <w:rsid w:val="00647609"/>
    <w:rsid w:val="0065064D"/>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08FB"/>
    <w:rsid w:val="00671983"/>
    <w:rsid w:val="00674C43"/>
    <w:rsid w:val="00675DF0"/>
    <w:rsid w:val="0067705C"/>
    <w:rsid w:val="0067756D"/>
    <w:rsid w:val="00680B0B"/>
    <w:rsid w:val="00681046"/>
    <w:rsid w:val="006815F4"/>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4582"/>
    <w:rsid w:val="00694D29"/>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9B9"/>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10CB"/>
    <w:rsid w:val="006D2262"/>
    <w:rsid w:val="006D2358"/>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51C1"/>
    <w:rsid w:val="0071534B"/>
    <w:rsid w:val="007168AA"/>
    <w:rsid w:val="00716954"/>
    <w:rsid w:val="007178B2"/>
    <w:rsid w:val="007201D6"/>
    <w:rsid w:val="007205A6"/>
    <w:rsid w:val="0072082A"/>
    <w:rsid w:val="007226EA"/>
    <w:rsid w:val="00722B09"/>
    <w:rsid w:val="00722B3C"/>
    <w:rsid w:val="00722D16"/>
    <w:rsid w:val="0072351A"/>
    <w:rsid w:val="00725EF0"/>
    <w:rsid w:val="00726BC9"/>
    <w:rsid w:val="00730915"/>
    <w:rsid w:val="007328A8"/>
    <w:rsid w:val="0073312C"/>
    <w:rsid w:val="00733861"/>
    <w:rsid w:val="00733DA4"/>
    <w:rsid w:val="007351B2"/>
    <w:rsid w:val="00735AA1"/>
    <w:rsid w:val="00736670"/>
    <w:rsid w:val="00737DFF"/>
    <w:rsid w:val="00741076"/>
    <w:rsid w:val="00741BAB"/>
    <w:rsid w:val="00742160"/>
    <w:rsid w:val="0074216C"/>
    <w:rsid w:val="00743CF5"/>
    <w:rsid w:val="0074786E"/>
    <w:rsid w:val="00747CAC"/>
    <w:rsid w:val="00750112"/>
    <w:rsid w:val="00751E33"/>
    <w:rsid w:val="00753DE1"/>
    <w:rsid w:val="00754A35"/>
    <w:rsid w:val="00754B50"/>
    <w:rsid w:val="007564F5"/>
    <w:rsid w:val="00756C59"/>
    <w:rsid w:val="00757174"/>
    <w:rsid w:val="00760243"/>
    <w:rsid w:val="00761AAB"/>
    <w:rsid w:val="007640C9"/>
    <w:rsid w:val="007649D8"/>
    <w:rsid w:val="00764AF0"/>
    <w:rsid w:val="00764E81"/>
    <w:rsid w:val="00764EBD"/>
    <w:rsid w:val="00764EC9"/>
    <w:rsid w:val="00764F45"/>
    <w:rsid w:val="00765970"/>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A0130"/>
    <w:rsid w:val="007A1C94"/>
    <w:rsid w:val="007A209C"/>
    <w:rsid w:val="007A2BA0"/>
    <w:rsid w:val="007A2F7A"/>
    <w:rsid w:val="007A2FF1"/>
    <w:rsid w:val="007A3E32"/>
    <w:rsid w:val="007A44F9"/>
    <w:rsid w:val="007A4DDA"/>
    <w:rsid w:val="007A5CFC"/>
    <w:rsid w:val="007A6048"/>
    <w:rsid w:val="007B20AC"/>
    <w:rsid w:val="007B2B0F"/>
    <w:rsid w:val="007B3A3B"/>
    <w:rsid w:val="007B55EB"/>
    <w:rsid w:val="007B7D21"/>
    <w:rsid w:val="007C0F2E"/>
    <w:rsid w:val="007C12D0"/>
    <w:rsid w:val="007C2106"/>
    <w:rsid w:val="007C27F7"/>
    <w:rsid w:val="007C2B8A"/>
    <w:rsid w:val="007C2C12"/>
    <w:rsid w:val="007C3EAB"/>
    <w:rsid w:val="007C6F8C"/>
    <w:rsid w:val="007C7C87"/>
    <w:rsid w:val="007D003E"/>
    <w:rsid w:val="007D0CE1"/>
    <w:rsid w:val="007D0E83"/>
    <w:rsid w:val="007D2256"/>
    <w:rsid w:val="007D44B7"/>
    <w:rsid w:val="007D44D2"/>
    <w:rsid w:val="007D7A15"/>
    <w:rsid w:val="007E2E4D"/>
    <w:rsid w:val="007E2EB9"/>
    <w:rsid w:val="007E4C15"/>
    <w:rsid w:val="007E5419"/>
    <w:rsid w:val="007E5D8E"/>
    <w:rsid w:val="007E7282"/>
    <w:rsid w:val="007E7543"/>
    <w:rsid w:val="007E7D99"/>
    <w:rsid w:val="007F1EF5"/>
    <w:rsid w:val="007F2A53"/>
    <w:rsid w:val="007F2D74"/>
    <w:rsid w:val="007F3486"/>
    <w:rsid w:val="007F4DF2"/>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0DFE"/>
    <w:rsid w:val="008113D9"/>
    <w:rsid w:val="008113FD"/>
    <w:rsid w:val="00812C16"/>
    <w:rsid w:val="00813FCC"/>
    <w:rsid w:val="008144D2"/>
    <w:rsid w:val="00815301"/>
    <w:rsid w:val="0081702B"/>
    <w:rsid w:val="00817E8B"/>
    <w:rsid w:val="008218E6"/>
    <w:rsid w:val="00821F74"/>
    <w:rsid w:val="00822F01"/>
    <w:rsid w:val="0082373C"/>
    <w:rsid w:val="008239C4"/>
    <w:rsid w:val="00825162"/>
    <w:rsid w:val="00825BDA"/>
    <w:rsid w:val="008264B2"/>
    <w:rsid w:val="00826987"/>
    <w:rsid w:val="008317D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9068D"/>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10"/>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032"/>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AEC"/>
    <w:rsid w:val="00927CC7"/>
    <w:rsid w:val="00927F3D"/>
    <w:rsid w:val="00930137"/>
    <w:rsid w:val="00930D5C"/>
    <w:rsid w:val="00931069"/>
    <w:rsid w:val="00931626"/>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3DF"/>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BBD"/>
    <w:rsid w:val="009A6457"/>
    <w:rsid w:val="009A655E"/>
    <w:rsid w:val="009A6D0A"/>
    <w:rsid w:val="009B2608"/>
    <w:rsid w:val="009B26C3"/>
    <w:rsid w:val="009B2D43"/>
    <w:rsid w:val="009B4E7C"/>
    <w:rsid w:val="009B5AF9"/>
    <w:rsid w:val="009C0031"/>
    <w:rsid w:val="009C066A"/>
    <w:rsid w:val="009C0D26"/>
    <w:rsid w:val="009C0EE9"/>
    <w:rsid w:val="009C32D9"/>
    <w:rsid w:val="009C3B27"/>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0EC0"/>
    <w:rsid w:val="00A1164B"/>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3E2E"/>
    <w:rsid w:val="00A36391"/>
    <w:rsid w:val="00A3691E"/>
    <w:rsid w:val="00A36BFC"/>
    <w:rsid w:val="00A37D4B"/>
    <w:rsid w:val="00A40E68"/>
    <w:rsid w:val="00A4137A"/>
    <w:rsid w:val="00A41BA3"/>
    <w:rsid w:val="00A4425F"/>
    <w:rsid w:val="00A4480A"/>
    <w:rsid w:val="00A4569F"/>
    <w:rsid w:val="00A45D96"/>
    <w:rsid w:val="00A45EF7"/>
    <w:rsid w:val="00A46A19"/>
    <w:rsid w:val="00A46FEA"/>
    <w:rsid w:val="00A50FC8"/>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8B"/>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3AB9"/>
    <w:rsid w:val="00B247A4"/>
    <w:rsid w:val="00B24AEC"/>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E02EE"/>
    <w:rsid w:val="00BE1DA6"/>
    <w:rsid w:val="00BE4260"/>
    <w:rsid w:val="00BE5B41"/>
    <w:rsid w:val="00BE6ADF"/>
    <w:rsid w:val="00BE6EEF"/>
    <w:rsid w:val="00BF1E34"/>
    <w:rsid w:val="00BF3020"/>
    <w:rsid w:val="00BF3756"/>
    <w:rsid w:val="00BF5600"/>
    <w:rsid w:val="00BF6319"/>
    <w:rsid w:val="00BF6391"/>
    <w:rsid w:val="00BF72E8"/>
    <w:rsid w:val="00C007DE"/>
    <w:rsid w:val="00C00983"/>
    <w:rsid w:val="00C00D42"/>
    <w:rsid w:val="00C01440"/>
    <w:rsid w:val="00C03711"/>
    <w:rsid w:val="00C044DC"/>
    <w:rsid w:val="00C0497D"/>
    <w:rsid w:val="00C04B16"/>
    <w:rsid w:val="00C062EA"/>
    <w:rsid w:val="00C0643D"/>
    <w:rsid w:val="00C06664"/>
    <w:rsid w:val="00C06931"/>
    <w:rsid w:val="00C10757"/>
    <w:rsid w:val="00C10F8E"/>
    <w:rsid w:val="00C116B5"/>
    <w:rsid w:val="00C13349"/>
    <w:rsid w:val="00C14396"/>
    <w:rsid w:val="00C156F1"/>
    <w:rsid w:val="00C16099"/>
    <w:rsid w:val="00C16502"/>
    <w:rsid w:val="00C16F93"/>
    <w:rsid w:val="00C17BF9"/>
    <w:rsid w:val="00C17C83"/>
    <w:rsid w:val="00C2034A"/>
    <w:rsid w:val="00C20C8B"/>
    <w:rsid w:val="00C20C9F"/>
    <w:rsid w:val="00C21576"/>
    <w:rsid w:val="00C23375"/>
    <w:rsid w:val="00C24543"/>
    <w:rsid w:val="00C246B3"/>
    <w:rsid w:val="00C24F12"/>
    <w:rsid w:val="00C26ED2"/>
    <w:rsid w:val="00C304E6"/>
    <w:rsid w:val="00C30D5F"/>
    <w:rsid w:val="00C328C6"/>
    <w:rsid w:val="00C335B2"/>
    <w:rsid w:val="00C33685"/>
    <w:rsid w:val="00C338A1"/>
    <w:rsid w:val="00C363EE"/>
    <w:rsid w:val="00C367A8"/>
    <w:rsid w:val="00C36A8E"/>
    <w:rsid w:val="00C37917"/>
    <w:rsid w:val="00C40395"/>
    <w:rsid w:val="00C40F49"/>
    <w:rsid w:val="00C41556"/>
    <w:rsid w:val="00C41856"/>
    <w:rsid w:val="00C421FB"/>
    <w:rsid w:val="00C430E0"/>
    <w:rsid w:val="00C43462"/>
    <w:rsid w:val="00C43946"/>
    <w:rsid w:val="00C454DA"/>
    <w:rsid w:val="00C45CF1"/>
    <w:rsid w:val="00C46920"/>
    <w:rsid w:val="00C4716D"/>
    <w:rsid w:val="00C50C74"/>
    <w:rsid w:val="00C5110C"/>
    <w:rsid w:val="00C51621"/>
    <w:rsid w:val="00C54280"/>
    <w:rsid w:val="00C54E9D"/>
    <w:rsid w:val="00C5517E"/>
    <w:rsid w:val="00C5622C"/>
    <w:rsid w:val="00C56EF1"/>
    <w:rsid w:val="00C60166"/>
    <w:rsid w:val="00C618E8"/>
    <w:rsid w:val="00C61FA8"/>
    <w:rsid w:val="00C64838"/>
    <w:rsid w:val="00C650F2"/>
    <w:rsid w:val="00C67060"/>
    <w:rsid w:val="00C6783D"/>
    <w:rsid w:val="00C70A8D"/>
    <w:rsid w:val="00C716A5"/>
    <w:rsid w:val="00C71AB4"/>
    <w:rsid w:val="00C71DA3"/>
    <w:rsid w:val="00C71F0C"/>
    <w:rsid w:val="00C7336F"/>
    <w:rsid w:val="00C742F3"/>
    <w:rsid w:val="00C753DE"/>
    <w:rsid w:val="00C7630C"/>
    <w:rsid w:val="00C7672A"/>
    <w:rsid w:val="00C772EA"/>
    <w:rsid w:val="00C77B77"/>
    <w:rsid w:val="00C80264"/>
    <w:rsid w:val="00C80B15"/>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6B05"/>
    <w:rsid w:val="00C96E8E"/>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40BC"/>
    <w:rsid w:val="00CB7DAE"/>
    <w:rsid w:val="00CC106D"/>
    <w:rsid w:val="00CC1079"/>
    <w:rsid w:val="00CC1A25"/>
    <w:rsid w:val="00CC26FC"/>
    <w:rsid w:val="00CC2A30"/>
    <w:rsid w:val="00CC3190"/>
    <w:rsid w:val="00CC466D"/>
    <w:rsid w:val="00CC64FE"/>
    <w:rsid w:val="00CC6663"/>
    <w:rsid w:val="00CC6BE3"/>
    <w:rsid w:val="00CC70F6"/>
    <w:rsid w:val="00CC7919"/>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3AE0"/>
    <w:rsid w:val="00CE558D"/>
    <w:rsid w:val="00CF198C"/>
    <w:rsid w:val="00CF1D7A"/>
    <w:rsid w:val="00CF1DA6"/>
    <w:rsid w:val="00CF1FA7"/>
    <w:rsid w:val="00CF309C"/>
    <w:rsid w:val="00CF3EFE"/>
    <w:rsid w:val="00CF6B0A"/>
    <w:rsid w:val="00D02178"/>
    <w:rsid w:val="00D026A4"/>
    <w:rsid w:val="00D02E05"/>
    <w:rsid w:val="00D04242"/>
    <w:rsid w:val="00D04D85"/>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053A"/>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895"/>
    <w:rsid w:val="00D97D1A"/>
    <w:rsid w:val="00DA007F"/>
    <w:rsid w:val="00DA03E2"/>
    <w:rsid w:val="00DA059B"/>
    <w:rsid w:val="00DA175E"/>
    <w:rsid w:val="00DA3C7C"/>
    <w:rsid w:val="00DA424F"/>
    <w:rsid w:val="00DA504A"/>
    <w:rsid w:val="00DA697B"/>
    <w:rsid w:val="00DA746C"/>
    <w:rsid w:val="00DB009D"/>
    <w:rsid w:val="00DB028B"/>
    <w:rsid w:val="00DB0439"/>
    <w:rsid w:val="00DB1B7B"/>
    <w:rsid w:val="00DB1C21"/>
    <w:rsid w:val="00DB2090"/>
    <w:rsid w:val="00DB25E7"/>
    <w:rsid w:val="00DB2A42"/>
    <w:rsid w:val="00DB4E17"/>
    <w:rsid w:val="00DB63D8"/>
    <w:rsid w:val="00DB7502"/>
    <w:rsid w:val="00DB79E3"/>
    <w:rsid w:val="00DC0240"/>
    <w:rsid w:val="00DC2D71"/>
    <w:rsid w:val="00DC3FFA"/>
    <w:rsid w:val="00DC4661"/>
    <w:rsid w:val="00DD055F"/>
    <w:rsid w:val="00DD0A9A"/>
    <w:rsid w:val="00DD1112"/>
    <w:rsid w:val="00DD1A6B"/>
    <w:rsid w:val="00DD223C"/>
    <w:rsid w:val="00DD25A2"/>
    <w:rsid w:val="00DD34F7"/>
    <w:rsid w:val="00DD3952"/>
    <w:rsid w:val="00DD3CE5"/>
    <w:rsid w:val="00DD4750"/>
    <w:rsid w:val="00DD5CC6"/>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DF7C2F"/>
    <w:rsid w:val="00E008B4"/>
    <w:rsid w:val="00E00A05"/>
    <w:rsid w:val="00E011A2"/>
    <w:rsid w:val="00E018C5"/>
    <w:rsid w:val="00E01BC7"/>
    <w:rsid w:val="00E02072"/>
    <w:rsid w:val="00E03BB6"/>
    <w:rsid w:val="00E07F9B"/>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3EB7"/>
    <w:rsid w:val="00E24781"/>
    <w:rsid w:val="00E26440"/>
    <w:rsid w:val="00E26699"/>
    <w:rsid w:val="00E27630"/>
    <w:rsid w:val="00E279CD"/>
    <w:rsid w:val="00E27A3E"/>
    <w:rsid w:val="00E31169"/>
    <w:rsid w:val="00E311C7"/>
    <w:rsid w:val="00E31D83"/>
    <w:rsid w:val="00E33530"/>
    <w:rsid w:val="00E3353D"/>
    <w:rsid w:val="00E3379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2ED6"/>
    <w:rsid w:val="00E6405D"/>
    <w:rsid w:val="00E64658"/>
    <w:rsid w:val="00E65C9A"/>
    <w:rsid w:val="00E67015"/>
    <w:rsid w:val="00E67FFB"/>
    <w:rsid w:val="00E70A28"/>
    <w:rsid w:val="00E70B52"/>
    <w:rsid w:val="00E70DBF"/>
    <w:rsid w:val="00E70F31"/>
    <w:rsid w:val="00E7114D"/>
    <w:rsid w:val="00E71E7E"/>
    <w:rsid w:val="00E742A6"/>
    <w:rsid w:val="00E74ADD"/>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B7C"/>
    <w:rsid w:val="00E86822"/>
    <w:rsid w:val="00E86F85"/>
    <w:rsid w:val="00E90B44"/>
    <w:rsid w:val="00E92F03"/>
    <w:rsid w:val="00E937E1"/>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239"/>
    <w:rsid w:val="00EB22FC"/>
    <w:rsid w:val="00EB34A3"/>
    <w:rsid w:val="00EB51C1"/>
    <w:rsid w:val="00EB5E18"/>
    <w:rsid w:val="00EB5E49"/>
    <w:rsid w:val="00EB620F"/>
    <w:rsid w:val="00EB6DDF"/>
    <w:rsid w:val="00EB6FF3"/>
    <w:rsid w:val="00EB781B"/>
    <w:rsid w:val="00EC0A85"/>
    <w:rsid w:val="00EC0B21"/>
    <w:rsid w:val="00EC1CFD"/>
    <w:rsid w:val="00EC1DBA"/>
    <w:rsid w:val="00EC37EA"/>
    <w:rsid w:val="00EC59FE"/>
    <w:rsid w:val="00EC6102"/>
    <w:rsid w:val="00EC730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0B5"/>
    <w:rsid w:val="00EF59BA"/>
    <w:rsid w:val="00EF7568"/>
    <w:rsid w:val="00EF7A85"/>
    <w:rsid w:val="00F01033"/>
    <w:rsid w:val="00F01183"/>
    <w:rsid w:val="00F035BB"/>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2CF"/>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5F67"/>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8A5"/>
    <w:rsid w:val="00FC1FDB"/>
    <w:rsid w:val="00FC48AD"/>
    <w:rsid w:val="00FC6C3D"/>
    <w:rsid w:val="00FC7042"/>
    <w:rsid w:val="00FC76C9"/>
    <w:rsid w:val="00FD042A"/>
    <w:rsid w:val="00FD1872"/>
    <w:rsid w:val="00FD3123"/>
    <w:rsid w:val="00FD3E21"/>
    <w:rsid w:val="00FD473A"/>
    <w:rsid w:val="00FD6140"/>
    <w:rsid w:val="00FD61DC"/>
    <w:rsid w:val="00FD6696"/>
    <w:rsid w:val="00FD669B"/>
    <w:rsid w:val="00FD7B07"/>
    <w:rsid w:val="00FE0CEA"/>
    <w:rsid w:val="00FE16FA"/>
    <w:rsid w:val="00FE3D10"/>
    <w:rsid w:val="00FE5954"/>
    <w:rsid w:val="00FE7ADD"/>
    <w:rsid w:val="00FF06D2"/>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Agreement">
    <w:name w:val="Agreement"/>
    <w:basedOn w:val="Normal"/>
    <w:next w:val="Normal"/>
    <w:qFormat/>
    <w:rsid w:val="00434D24"/>
    <w:pPr>
      <w:numPr>
        <w:numId w:val="1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4</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19</cp:revision>
  <dcterms:created xsi:type="dcterms:W3CDTF">2022-09-29T06:00:00Z</dcterms:created>
  <dcterms:modified xsi:type="dcterms:W3CDTF">2022-11-05T17:32:00Z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